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E226B5" w14:textId="77777777" w:rsidR="007A5AD8" w:rsidRPr="00E54CA2" w:rsidRDefault="007A5AD8" w:rsidP="007A5AD8">
      <w:pPr>
        <w:spacing w:after="0" w:line="240" w:lineRule="auto"/>
        <w:jc w:val="both"/>
        <w:rPr>
          <w:rFonts w:ascii="Calibri" w:eastAsia="Times New Roman" w:hAnsi="Calibri" w:cs="Calibri"/>
          <w:kern w:val="0"/>
          <w:lang w:eastAsia="pl-PL"/>
          <w14:ligatures w14:val="none"/>
        </w:rPr>
      </w:pPr>
      <w:r w:rsidRPr="00E54CA2">
        <w:rPr>
          <w:rFonts w:ascii="Calibri" w:eastAsia="Times New Roman" w:hAnsi="Calibri" w:cs="Calibri"/>
          <w:kern w:val="0"/>
          <w:lang w:eastAsia="pl-PL"/>
          <w14:ligatures w14:val="none"/>
        </w:rPr>
        <w:t>Informacja prasowa</w:t>
      </w:r>
    </w:p>
    <w:p w14:paraId="06F3B311" w14:textId="404D2F50" w:rsidR="007A5AD8" w:rsidRPr="00E54CA2" w:rsidRDefault="007A5AD8" w:rsidP="007A5AD8">
      <w:pPr>
        <w:spacing w:after="0" w:line="240" w:lineRule="auto"/>
        <w:jc w:val="both"/>
        <w:rPr>
          <w:rFonts w:ascii="Calibri" w:eastAsia="Times New Roman" w:hAnsi="Calibri" w:cs="Calibri"/>
          <w:kern w:val="0"/>
          <w:lang w:eastAsia="pl-PL"/>
          <w14:ligatures w14:val="none"/>
        </w:rPr>
      </w:pPr>
      <w:r w:rsidRPr="00E54CA2">
        <w:rPr>
          <w:rFonts w:ascii="Calibri" w:eastAsia="Times New Roman" w:hAnsi="Calibri" w:cs="Calibri"/>
          <w:kern w:val="0"/>
          <w:lang w:eastAsia="pl-PL"/>
          <w14:ligatures w14:val="none"/>
        </w:rPr>
        <w:t xml:space="preserve">Warszawa, </w:t>
      </w:r>
      <w:r w:rsidR="00E81D04">
        <w:rPr>
          <w:rFonts w:ascii="Calibri" w:eastAsia="Times New Roman" w:hAnsi="Calibri" w:cs="Calibri"/>
          <w:kern w:val="0"/>
          <w:lang w:eastAsia="pl-PL"/>
          <w14:ligatures w14:val="none"/>
        </w:rPr>
        <w:t>14</w:t>
      </w:r>
      <w:r w:rsidRPr="00E54CA2">
        <w:rPr>
          <w:rFonts w:ascii="Calibri" w:eastAsia="Times New Roman" w:hAnsi="Calibri" w:cs="Calibri"/>
          <w:kern w:val="0"/>
          <w:lang w:eastAsia="pl-PL"/>
          <w14:ligatures w14:val="none"/>
        </w:rPr>
        <w:t>.0</w:t>
      </w:r>
      <w:r w:rsidR="00E81D04">
        <w:rPr>
          <w:rFonts w:ascii="Calibri" w:eastAsia="Times New Roman" w:hAnsi="Calibri" w:cs="Calibri"/>
          <w:kern w:val="0"/>
          <w:lang w:eastAsia="pl-PL"/>
          <w14:ligatures w14:val="none"/>
        </w:rPr>
        <w:t>5</w:t>
      </w:r>
      <w:r w:rsidRPr="00E54CA2">
        <w:rPr>
          <w:rFonts w:ascii="Calibri" w:eastAsia="Times New Roman" w:hAnsi="Calibri" w:cs="Calibri"/>
          <w:kern w:val="0"/>
          <w:lang w:eastAsia="pl-PL"/>
          <w14:ligatures w14:val="none"/>
        </w:rPr>
        <w:t>.202</w:t>
      </w:r>
      <w:r w:rsidR="00E81D04">
        <w:rPr>
          <w:rFonts w:ascii="Calibri" w:eastAsia="Times New Roman" w:hAnsi="Calibri" w:cs="Calibri"/>
          <w:kern w:val="0"/>
          <w:lang w:eastAsia="pl-PL"/>
          <w14:ligatures w14:val="none"/>
        </w:rPr>
        <w:t>5</w:t>
      </w:r>
    </w:p>
    <w:p w14:paraId="20A2252E" w14:textId="22D6E620" w:rsidR="007A5AD8" w:rsidRDefault="007A5AD8" w:rsidP="007A5AD8">
      <w:pPr>
        <w:spacing w:before="100" w:beforeAutospacing="1" w:after="100" w:afterAutospacing="1" w:line="240" w:lineRule="auto"/>
        <w:jc w:val="both"/>
        <w:rPr>
          <w:rFonts w:ascii="Calibri" w:eastAsia="Times New Roman" w:hAnsi="Calibri" w:cs="Calibri"/>
          <w:kern w:val="0"/>
          <w:lang w:eastAsia="pl-PL"/>
          <w14:ligatures w14:val="none"/>
        </w:rPr>
      </w:pPr>
    </w:p>
    <w:p w14:paraId="15DACA32" w14:textId="0E725833" w:rsidR="00616E45" w:rsidRDefault="0048228D" w:rsidP="00D24125">
      <w:pPr>
        <w:spacing w:before="100" w:beforeAutospacing="1" w:after="100" w:afterAutospacing="1" w:line="240" w:lineRule="auto"/>
        <w:jc w:val="both"/>
        <w:rPr>
          <w:rFonts w:ascii="Calibri" w:eastAsia="Times New Roman" w:hAnsi="Calibri" w:cs="Calibri"/>
          <w:b/>
          <w:bCs/>
          <w:kern w:val="0"/>
          <w:lang w:eastAsia="pl-PL"/>
          <w14:ligatures w14:val="none"/>
        </w:rPr>
      </w:pPr>
      <w:r>
        <w:rPr>
          <w:rFonts w:ascii="Calibri" w:eastAsia="Times New Roman" w:hAnsi="Calibri" w:cs="Calibri"/>
          <w:b/>
          <w:bCs/>
          <w:kern w:val="0"/>
          <w:lang w:eastAsia="pl-PL"/>
          <w14:ligatures w14:val="none"/>
        </w:rPr>
        <w:t xml:space="preserve">Milisystem w I kw. 2025 r. </w:t>
      </w:r>
      <w:r w:rsidR="00034306">
        <w:rPr>
          <w:rFonts w:ascii="Calibri" w:eastAsia="Times New Roman" w:hAnsi="Calibri" w:cs="Calibri"/>
          <w:b/>
          <w:bCs/>
          <w:kern w:val="0"/>
          <w:lang w:eastAsia="pl-PL"/>
          <w14:ligatures w14:val="none"/>
        </w:rPr>
        <w:t xml:space="preserve">kontynuowało realizację </w:t>
      </w:r>
      <w:r w:rsidR="00616E45">
        <w:rPr>
          <w:rFonts w:ascii="Calibri" w:eastAsia="Times New Roman" w:hAnsi="Calibri" w:cs="Calibri"/>
          <w:b/>
          <w:bCs/>
          <w:kern w:val="0"/>
          <w:lang w:eastAsia="pl-PL"/>
          <w14:ligatures w14:val="none"/>
        </w:rPr>
        <w:t xml:space="preserve">przyjętych </w:t>
      </w:r>
      <w:r>
        <w:rPr>
          <w:rFonts w:ascii="Calibri" w:eastAsia="Times New Roman" w:hAnsi="Calibri" w:cs="Calibri"/>
          <w:b/>
          <w:bCs/>
          <w:kern w:val="0"/>
          <w:lang w:eastAsia="pl-PL"/>
          <w14:ligatures w14:val="none"/>
        </w:rPr>
        <w:t>kierunk</w:t>
      </w:r>
      <w:r w:rsidR="00616E45">
        <w:rPr>
          <w:rFonts w:ascii="Calibri" w:eastAsia="Times New Roman" w:hAnsi="Calibri" w:cs="Calibri"/>
          <w:b/>
          <w:bCs/>
          <w:kern w:val="0"/>
          <w:lang w:eastAsia="pl-PL"/>
          <w14:ligatures w14:val="none"/>
        </w:rPr>
        <w:t xml:space="preserve">ów </w:t>
      </w:r>
      <w:r>
        <w:rPr>
          <w:rFonts w:ascii="Calibri" w:eastAsia="Times New Roman" w:hAnsi="Calibri" w:cs="Calibri"/>
          <w:b/>
          <w:bCs/>
          <w:kern w:val="0"/>
          <w:lang w:eastAsia="pl-PL"/>
          <w14:ligatures w14:val="none"/>
        </w:rPr>
        <w:t>rozwoju</w:t>
      </w:r>
      <w:r w:rsidR="00D24125">
        <w:rPr>
          <w:rFonts w:ascii="Calibri" w:eastAsia="Times New Roman" w:hAnsi="Calibri" w:cs="Calibri"/>
          <w:b/>
          <w:bCs/>
          <w:kern w:val="0"/>
          <w:lang w:eastAsia="pl-PL"/>
          <w14:ligatures w14:val="none"/>
        </w:rPr>
        <w:t xml:space="preserve">, intensyfikując </w:t>
      </w:r>
      <w:r w:rsidR="00616E45">
        <w:rPr>
          <w:rFonts w:ascii="Calibri" w:eastAsia="Times New Roman" w:hAnsi="Calibri" w:cs="Calibri"/>
          <w:b/>
          <w:bCs/>
          <w:kern w:val="0"/>
          <w:lang w:eastAsia="pl-PL"/>
          <w14:ligatures w14:val="none"/>
        </w:rPr>
        <w:t xml:space="preserve">działania sprzedażowe i </w:t>
      </w:r>
      <w:r w:rsidR="00D24125">
        <w:rPr>
          <w:rFonts w:ascii="Calibri" w:eastAsia="Times New Roman" w:hAnsi="Calibri" w:cs="Calibri"/>
          <w:b/>
          <w:bCs/>
          <w:kern w:val="0"/>
          <w:lang w:eastAsia="pl-PL"/>
          <w14:ligatures w14:val="none"/>
        </w:rPr>
        <w:t>porządkując strukturę organizacyjną</w:t>
      </w:r>
    </w:p>
    <w:p w14:paraId="596B48E1" w14:textId="226C7F33" w:rsidR="00AD2958" w:rsidRDefault="00B215E4" w:rsidP="007A5AD8">
      <w:pPr>
        <w:spacing w:before="100" w:beforeAutospacing="1" w:after="100" w:afterAutospacing="1" w:line="240" w:lineRule="auto"/>
        <w:jc w:val="both"/>
        <w:rPr>
          <w:rFonts w:ascii="Calibri" w:eastAsia="Times New Roman" w:hAnsi="Calibri" w:cs="Calibri"/>
          <w:b/>
          <w:bCs/>
          <w:kern w:val="0"/>
          <w:lang w:eastAsia="pl-PL"/>
          <w14:ligatures w14:val="none"/>
        </w:rPr>
      </w:pPr>
      <w:r>
        <w:rPr>
          <w:rFonts w:ascii="Calibri" w:eastAsia="Times New Roman" w:hAnsi="Calibri" w:cs="Calibri"/>
          <w:b/>
          <w:bCs/>
          <w:kern w:val="0"/>
          <w:lang w:eastAsia="pl-PL"/>
          <w14:ligatures w14:val="none"/>
        </w:rPr>
        <w:t xml:space="preserve">W pierwszym kwartale 2025 roku </w:t>
      </w:r>
      <w:r w:rsidR="0048228D" w:rsidRPr="0048228D">
        <w:rPr>
          <w:rFonts w:ascii="Calibri" w:eastAsia="Times New Roman" w:hAnsi="Calibri" w:cs="Calibri"/>
          <w:b/>
          <w:bCs/>
          <w:kern w:val="0"/>
          <w:lang w:eastAsia="pl-PL"/>
          <w14:ligatures w14:val="none"/>
        </w:rPr>
        <w:t>Milisystem S.A.</w:t>
      </w:r>
      <w:r w:rsidR="00777ABD">
        <w:rPr>
          <w:rFonts w:ascii="Calibri" w:eastAsia="Times New Roman" w:hAnsi="Calibri" w:cs="Calibri"/>
          <w:b/>
          <w:bCs/>
          <w:kern w:val="0"/>
          <w:lang w:eastAsia="pl-PL"/>
          <w14:ligatures w14:val="none"/>
        </w:rPr>
        <w:t xml:space="preserve">, </w:t>
      </w:r>
      <w:r w:rsidR="00777ABD" w:rsidRPr="00777ABD">
        <w:rPr>
          <w:rFonts w:ascii="Calibri" w:eastAsia="Times New Roman" w:hAnsi="Calibri" w:cs="Calibri"/>
          <w:b/>
          <w:bCs/>
          <w:kern w:val="0"/>
          <w:lang w:eastAsia="pl-PL"/>
          <w14:ligatures w14:val="none"/>
        </w:rPr>
        <w:t>czyli spółka technologiczna notowana na rynku alternatywnym NewConnect</w:t>
      </w:r>
      <w:r w:rsidR="00777ABD">
        <w:rPr>
          <w:rFonts w:ascii="Calibri" w:eastAsia="Times New Roman" w:hAnsi="Calibri" w:cs="Calibri"/>
          <w:b/>
          <w:bCs/>
          <w:kern w:val="0"/>
          <w:lang w:eastAsia="pl-PL"/>
          <w14:ligatures w14:val="none"/>
        </w:rPr>
        <w:t xml:space="preserve"> i </w:t>
      </w:r>
      <w:r w:rsidR="00777ABD" w:rsidRPr="00777ABD">
        <w:rPr>
          <w:rFonts w:ascii="Calibri" w:eastAsia="Times New Roman" w:hAnsi="Calibri" w:cs="Calibri"/>
          <w:b/>
          <w:bCs/>
          <w:kern w:val="0"/>
          <w:lang w:eastAsia="pl-PL"/>
          <w14:ligatures w14:val="none"/>
        </w:rPr>
        <w:t>oferująca szeroką gamę zaawansowanych rozwiązań symulatorów strzeleckich (tzw. trenażerów strzeleckich)</w:t>
      </w:r>
      <w:r w:rsidR="00CB1001">
        <w:rPr>
          <w:rFonts w:ascii="Calibri" w:eastAsia="Times New Roman" w:hAnsi="Calibri" w:cs="Calibri"/>
          <w:b/>
          <w:bCs/>
          <w:kern w:val="0"/>
          <w:lang w:eastAsia="pl-PL"/>
          <w14:ligatures w14:val="none"/>
        </w:rPr>
        <w:t xml:space="preserve">, kontynuowała </w:t>
      </w:r>
      <w:r w:rsidR="0069543A">
        <w:rPr>
          <w:rFonts w:ascii="Calibri" w:eastAsia="Times New Roman" w:hAnsi="Calibri" w:cs="Calibri"/>
          <w:b/>
          <w:bCs/>
          <w:kern w:val="0"/>
          <w:lang w:eastAsia="pl-PL"/>
          <w14:ligatures w14:val="none"/>
        </w:rPr>
        <w:t>realizację obranych kierunków rozwoju</w:t>
      </w:r>
      <w:r w:rsidR="00B359B5">
        <w:rPr>
          <w:rFonts w:ascii="Calibri" w:eastAsia="Times New Roman" w:hAnsi="Calibri" w:cs="Calibri"/>
          <w:b/>
          <w:bCs/>
          <w:kern w:val="0"/>
          <w:lang w:eastAsia="pl-PL"/>
          <w14:ligatures w14:val="none"/>
        </w:rPr>
        <w:t>.</w:t>
      </w:r>
      <w:r w:rsidR="0069543A">
        <w:rPr>
          <w:rFonts w:ascii="Calibri" w:eastAsia="Times New Roman" w:hAnsi="Calibri" w:cs="Calibri"/>
          <w:b/>
          <w:bCs/>
          <w:kern w:val="0"/>
          <w:lang w:eastAsia="pl-PL"/>
          <w14:ligatures w14:val="none"/>
        </w:rPr>
        <w:t xml:space="preserve"> </w:t>
      </w:r>
      <w:r w:rsidR="00211827">
        <w:rPr>
          <w:rFonts w:ascii="Calibri" w:eastAsia="Times New Roman" w:hAnsi="Calibri" w:cs="Calibri"/>
          <w:b/>
          <w:bCs/>
          <w:kern w:val="0"/>
          <w:lang w:eastAsia="pl-PL"/>
          <w14:ligatures w14:val="none"/>
        </w:rPr>
        <w:t>Podejmowano</w:t>
      </w:r>
      <w:r w:rsidR="00C856BF">
        <w:rPr>
          <w:rFonts w:ascii="Calibri" w:eastAsia="Times New Roman" w:hAnsi="Calibri" w:cs="Calibri"/>
          <w:b/>
          <w:bCs/>
          <w:kern w:val="0"/>
          <w:lang w:eastAsia="pl-PL"/>
          <w14:ligatures w14:val="none"/>
        </w:rPr>
        <w:t xml:space="preserve"> </w:t>
      </w:r>
      <w:r w:rsidR="00211827">
        <w:rPr>
          <w:rFonts w:ascii="Calibri" w:eastAsia="Times New Roman" w:hAnsi="Calibri" w:cs="Calibri"/>
          <w:b/>
          <w:bCs/>
          <w:kern w:val="0"/>
          <w:lang w:eastAsia="pl-PL"/>
          <w14:ligatures w14:val="none"/>
        </w:rPr>
        <w:t>również działania intensyfikujące sprzedaż i produkcję, w szczególności uwzględniając segment wirtualnych strzelnic laserowych.</w:t>
      </w:r>
      <w:r w:rsidR="009C7EA4">
        <w:rPr>
          <w:rFonts w:ascii="Calibri" w:eastAsia="Times New Roman" w:hAnsi="Calibri" w:cs="Calibri"/>
          <w:b/>
          <w:bCs/>
          <w:kern w:val="0"/>
          <w:lang w:eastAsia="pl-PL"/>
          <w14:ligatures w14:val="none"/>
        </w:rPr>
        <w:t xml:space="preserve"> W</w:t>
      </w:r>
      <w:r w:rsidR="009C7EA4" w:rsidRPr="009C7EA4">
        <w:rPr>
          <w:rFonts w:ascii="Calibri" w:eastAsia="Times New Roman" w:hAnsi="Calibri" w:cs="Calibri"/>
          <w:b/>
          <w:bCs/>
          <w:kern w:val="0"/>
          <w:lang w:eastAsia="pl-PL"/>
          <w14:ligatures w14:val="none"/>
        </w:rPr>
        <w:t xml:space="preserve"> najbliższym </w:t>
      </w:r>
      <w:r w:rsidR="009C7EA4">
        <w:rPr>
          <w:rFonts w:ascii="Calibri" w:eastAsia="Times New Roman" w:hAnsi="Calibri" w:cs="Calibri"/>
          <w:b/>
          <w:bCs/>
          <w:kern w:val="0"/>
          <w:lang w:eastAsia="pl-PL"/>
          <w14:ligatures w14:val="none"/>
        </w:rPr>
        <w:t xml:space="preserve">czasie </w:t>
      </w:r>
      <w:r w:rsidR="00B272C6">
        <w:rPr>
          <w:rFonts w:ascii="Calibri" w:eastAsia="Times New Roman" w:hAnsi="Calibri" w:cs="Calibri"/>
          <w:b/>
          <w:bCs/>
          <w:kern w:val="0"/>
          <w:lang w:eastAsia="pl-PL"/>
          <w14:ligatures w14:val="none"/>
        </w:rPr>
        <w:t xml:space="preserve">spółka </w:t>
      </w:r>
      <w:r w:rsidR="00825A9B">
        <w:rPr>
          <w:rFonts w:ascii="Calibri" w:eastAsia="Times New Roman" w:hAnsi="Calibri" w:cs="Calibri"/>
          <w:b/>
          <w:bCs/>
          <w:kern w:val="0"/>
          <w:lang w:eastAsia="pl-PL"/>
          <w14:ligatures w14:val="none"/>
        </w:rPr>
        <w:t xml:space="preserve">Milisystem </w:t>
      </w:r>
      <w:r w:rsidR="009C7EA4" w:rsidRPr="009C7EA4">
        <w:rPr>
          <w:rFonts w:ascii="Calibri" w:eastAsia="Times New Roman" w:hAnsi="Calibri" w:cs="Calibri"/>
          <w:b/>
          <w:bCs/>
          <w:kern w:val="0"/>
          <w:lang w:eastAsia="pl-PL"/>
          <w14:ligatures w14:val="none"/>
        </w:rPr>
        <w:t xml:space="preserve">skoncentruje uwagę na </w:t>
      </w:r>
      <w:r w:rsidR="00825A9B">
        <w:rPr>
          <w:rFonts w:ascii="Calibri" w:eastAsia="Times New Roman" w:hAnsi="Calibri" w:cs="Calibri"/>
          <w:b/>
          <w:bCs/>
          <w:kern w:val="0"/>
          <w:lang w:eastAsia="pl-PL"/>
          <w14:ligatures w14:val="none"/>
        </w:rPr>
        <w:t xml:space="preserve">finalizacji dotychczasowych umów oraz dalszych </w:t>
      </w:r>
      <w:r w:rsidR="009C7EA4" w:rsidRPr="009C7EA4">
        <w:rPr>
          <w:rFonts w:ascii="Calibri" w:eastAsia="Times New Roman" w:hAnsi="Calibri" w:cs="Calibri"/>
          <w:b/>
          <w:bCs/>
          <w:kern w:val="0"/>
          <w:lang w:eastAsia="pl-PL"/>
          <w14:ligatures w14:val="none"/>
        </w:rPr>
        <w:t>pracach rozwojowych.</w:t>
      </w:r>
    </w:p>
    <w:p w14:paraId="5DBD0004" w14:textId="5391113D" w:rsidR="00F540FC" w:rsidRDefault="00F540FC" w:rsidP="007A5AD8">
      <w:pPr>
        <w:spacing w:before="100" w:beforeAutospacing="1" w:after="100" w:afterAutospacing="1" w:line="240" w:lineRule="auto"/>
        <w:jc w:val="both"/>
        <w:rPr>
          <w:rFonts w:ascii="Calibri" w:eastAsia="Times New Roman" w:hAnsi="Calibri" w:cs="Calibri"/>
          <w:b/>
          <w:bCs/>
          <w:kern w:val="0"/>
          <w:lang w:eastAsia="pl-PL"/>
          <w14:ligatures w14:val="none"/>
        </w:rPr>
      </w:pPr>
      <w:r>
        <w:rPr>
          <w:rFonts w:ascii="Calibri" w:eastAsia="Times New Roman" w:hAnsi="Calibri" w:cs="Calibri"/>
          <w:b/>
          <w:bCs/>
          <w:kern w:val="0"/>
          <w:lang w:eastAsia="pl-PL"/>
          <w14:ligatures w14:val="none"/>
        </w:rPr>
        <w:t>Jak zaznacza</w:t>
      </w:r>
      <w:r w:rsidR="00A2416B">
        <w:rPr>
          <w:rFonts w:ascii="Calibri" w:eastAsia="Times New Roman" w:hAnsi="Calibri" w:cs="Calibri"/>
          <w:b/>
          <w:bCs/>
          <w:kern w:val="0"/>
          <w:lang w:eastAsia="pl-PL"/>
          <w14:ligatures w14:val="none"/>
        </w:rPr>
        <w:t xml:space="preserve"> </w:t>
      </w:r>
      <w:r>
        <w:rPr>
          <w:rFonts w:ascii="Calibri" w:eastAsia="Times New Roman" w:hAnsi="Calibri" w:cs="Calibri"/>
          <w:b/>
          <w:bCs/>
          <w:kern w:val="0"/>
          <w:lang w:eastAsia="pl-PL"/>
          <w14:ligatures w14:val="none"/>
        </w:rPr>
        <w:t>Milisystem S.A. w</w:t>
      </w:r>
      <w:r w:rsidRPr="00F540FC">
        <w:rPr>
          <w:rFonts w:ascii="Calibri" w:eastAsia="Times New Roman" w:hAnsi="Calibri" w:cs="Calibri"/>
          <w:b/>
          <w:bCs/>
          <w:kern w:val="0"/>
          <w:lang w:eastAsia="pl-PL"/>
          <w14:ligatures w14:val="none"/>
        </w:rPr>
        <w:t>zrost zainteresowania rozwiązaniami szkoleniowymi</w:t>
      </w:r>
      <w:r>
        <w:rPr>
          <w:rFonts w:ascii="Calibri" w:eastAsia="Times New Roman" w:hAnsi="Calibri" w:cs="Calibri"/>
          <w:b/>
          <w:bCs/>
          <w:kern w:val="0"/>
          <w:lang w:eastAsia="pl-PL"/>
          <w14:ligatures w14:val="none"/>
        </w:rPr>
        <w:t xml:space="preserve">, </w:t>
      </w:r>
      <w:r w:rsidRPr="00F540FC">
        <w:rPr>
          <w:rFonts w:ascii="Calibri" w:eastAsia="Times New Roman" w:hAnsi="Calibri" w:cs="Calibri"/>
          <w:b/>
          <w:bCs/>
          <w:kern w:val="0"/>
          <w:lang w:eastAsia="pl-PL"/>
          <w14:ligatures w14:val="none"/>
        </w:rPr>
        <w:t xml:space="preserve">opartymi o wirtualne środowisko treningowe – w szczególności w kontekście wzmacniania obronności terytorialnej oraz implementacji nowoczesnych narzędzi edukacyjnych – sprzyja działalności </w:t>
      </w:r>
      <w:r>
        <w:rPr>
          <w:rFonts w:ascii="Calibri" w:eastAsia="Times New Roman" w:hAnsi="Calibri" w:cs="Calibri"/>
          <w:b/>
          <w:bCs/>
          <w:kern w:val="0"/>
          <w:lang w:eastAsia="pl-PL"/>
          <w14:ligatures w14:val="none"/>
        </w:rPr>
        <w:t>s</w:t>
      </w:r>
      <w:r w:rsidRPr="00F540FC">
        <w:rPr>
          <w:rFonts w:ascii="Calibri" w:eastAsia="Times New Roman" w:hAnsi="Calibri" w:cs="Calibri"/>
          <w:b/>
          <w:bCs/>
          <w:kern w:val="0"/>
          <w:lang w:eastAsia="pl-PL"/>
          <w14:ligatures w14:val="none"/>
        </w:rPr>
        <w:t>półki</w:t>
      </w:r>
      <w:r w:rsidR="00C631B3">
        <w:rPr>
          <w:rFonts w:ascii="Calibri" w:eastAsia="Times New Roman" w:hAnsi="Calibri" w:cs="Calibri"/>
          <w:b/>
          <w:bCs/>
          <w:kern w:val="0"/>
          <w:lang w:eastAsia="pl-PL"/>
          <w14:ligatures w14:val="none"/>
        </w:rPr>
        <w:t xml:space="preserve"> i</w:t>
      </w:r>
      <w:r w:rsidR="00A2416B">
        <w:rPr>
          <w:rFonts w:ascii="Calibri" w:eastAsia="Times New Roman" w:hAnsi="Calibri" w:cs="Calibri"/>
          <w:b/>
          <w:bCs/>
          <w:kern w:val="0"/>
          <w:lang w:eastAsia="pl-PL"/>
          <w14:ligatures w14:val="none"/>
        </w:rPr>
        <w:t xml:space="preserve"> trend ten, w</w:t>
      </w:r>
      <w:r w:rsidRPr="00F540FC">
        <w:rPr>
          <w:rFonts w:ascii="Calibri" w:eastAsia="Times New Roman" w:hAnsi="Calibri" w:cs="Calibri"/>
          <w:b/>
          <w:bCs/>
          <w:kern w:val="0"/>
          <w:lang w:eastAsia="pl-PL"/>
          <w14:ligatures w14:val="none"/>
        </w:rPr>
        <w:t xml:space="preserve"> ocenie Zarządu</w:t>
      </w:r>
      <w:r w:rsidR="00A2416B">
        <w:rPr>
          <w:rFonts w:ascii="Calibri" w:eastAsia="Times New Roman" w:hAnsi="Calibri" w:cs="Calibri"/>
          <w:b/>
          <w:bCs/>
          <w:kern w:val="0"/>
          <w:lang w:eastAsia="pl-PL"/>
          <w14:ligatures w14:val="none"/>
        </w:rPr>
        <w:t xml:space="preserve">, </w:t>
      </w:r>
      <w:r w:rsidRPr="00F540FC">
        <w:rPr>
          <w:rFonts w:ascii="Calibri" w:eastAsia="Times New Roman" w:hAnsi="Calibri" w:cs="Calibri"/>
          <w:b/>
          <w:bCs/>
          <w:kern w:val="0"/>
          <w:lang w:eastAsia="pl-PL"/>
          <w14:ligatures w14:val="none"/>
        </w:rPr>
        <w:t>utrzyma się również w kolejnych kwartałach.</w:t>
      </w:r>
    </w:p>
    <w:p w14:paraId="62CE1C2A" w14:textId="32D8E91F" w:rsidR="00D85027" w:rsidRDefault="007A5AD8" w:rsidP="00D85027">
      <w:pPr>
        <w:spacing w:before="100" w:beforeAutospacing="1" w:after="100" w:afterAutospacing="1" w:line="240" w:lineRule="auto"/>
        <w:jc w:val="both"/>
        <w:rPr>
          <w:rFonts w:ascii="Calibri" w:eastAsia="Times New Roman" w:hAnsi="Calibri" w:cs="Calibri"/>
          <w:i/>
          <w:iCs/>
          <w:kern w:val="0"/>
          <w:lang w:eastAsia="pl-PL"/>
          <w14:ligatures w14:val="none"/>
        </w:rPr>
      </w:pPr>
      <w:r w:rsidRPr="00E54CA2">
        <w:rPr>
          <w:rFonts w:ascii="Calibri" w:eastAsia="Times New Roman" w:hAnsi="Calibri" w:cs="Calibri"/>
          <w:i/>
          <w:iCs/>
          <w:kern w:val="0"/>
          <w:lang w:eastAsia="pl-PL"/>
          <w14:ligatures w14:val="none"/>
        </w:rPr>
        <w:t>"</w:t>
      </w:r>
      <w:r w:rsidR="00AD2958" w:rsidRPr="00AD2958">
        <w:rPr>
          <w:rFonts w:ascii="Calibri" w:eastAsia="Times New Roman" w:hAnsi="Calibri" w:cs="Calibri"/>
          <w:i/>
          <w:iCs/>
          <w:kern w:val="0"/>
          <w:lang w:eastAsia="pl-PL"/>
          <w14:ligatures w14:val="none"/>
        </w:rPr>
        <w:t>I kwartał 2025 roku był okresem wzmożonego procesu ofertowania do jednostek samorządu terytorialnego w ramach konkursu ofert „Strzelnica w Powiecie 2025” oraz „Olimpia”</w:t>
      </w:r>
      <w:r w:rsidR="00A320BA">
        <w:rPr>
          <w:rFonts w:ascii="Calibri" w:eastAsia="Times New Roman" w:hAnsi="Calibri" w:cs="Calibri"/>
          <w:i/>
          <w:iCs/>
          <w:kern w:val="0"/>
          <w:lang w:eastAsia="pl-PL"/>
          <w14:ligatures w14:val="none"/>
        </w:rPr>
        <w:t xml:space="preserve">, </w:t>
      </w:r>
      <w:r w:rsidR="00A320BA" w:rsidRPr="00A320BA">
        <w:rPr>
          <w:rFonts w:ascii="Calibri" w:eastAsia="Times New Roman" w:hAnsi="Calibri" w:cs="Calibri"/>
          <w:i/>
          <w:iCs/>
          <w:kern w:val="0"/>
          <w:lang w:eastAsia="pl-PL"/>
          <w14:ligatures w14:val="none"/>
        </w:rPr>
        <w:t>co pozytywnie wpłynie na przychody ze sprzedaży w kolejnych</w:t>
      </w:r>
      <w:r w:rsidR="00A320BA">
        <w:rPr>
          <w:rFonts w:ascii="Calibri" w:eastAsia="Times New Roman" w:hAnsi="Calibri" w:cs="Calibri"/>
          <w:i/>
          <w:iCs/>
          <w:kern w:val="0"/>
          <w:lang w:eastAsia="pl-PL"/>
          <w14:ligatures w14:val="none"/>
        </w:rPr>
        <w:t xml:space="preserve"> </w:t>
      </w:r>
      <w:r w:rsidR="00A320BA" w:rsidRPr="00A320BA">
        <w:rPr>
          <w:rFonts w:ascii="Calibri" w:eastAsia="Times New Roman" w:hAnsi="Calibri" w:cs="Calibri"/>
          <w:i/>
          <w:iCs/>
          <w:kern w:val="0"/>
          <w:lang w:eastAsia="pl-PL"/>
          <w14:ligatures w14:val="none"/>
        </w:rPr>
        <w:t>kwartałach. Z informacji z otwarcia dotychczasowych ofert wynika że oferta Milisystem S.A.</w:t>
      </w:r>
      <w:r w:rsidR="00C02FF7">
        <w:rPr>
          <w:rFonts w:ascii="Calibri" w:eastAsia="Times New Roman" w:hAnsi="Calibri" w:cs="Calibri"/>
          <w:i/>
          <w:iCs/>
          <w:kern w:val="0"/>
          <w:lang w:eastAsia="pl-PL"/>
          <w14:ligatures w14:val="none"/>
        </w:rPr>
        <w:t xml:space="preserve"> </w:t>
      </w:r>
      <w:r w:rsidR="00A320BA" w:rsidRPr="00A320BA">
        <w:rPr>
          <w:rFonts w:ascii="Calibri" w:eastAsia="Times New Roman" w:hAnsi="Calibri" w:cs="Calibri"/>
          <w:i/>
          <w:iCs/>
          <w:kern w:val="0"/>
          <w:lang w:eastAsia="pl-PL"/>
          <w14:ligatures w14:val="none"/>
        </w:rPr>
        <w:t>posiadała najkorzystniejszą cenę w ponad 10 postępowaniach zakupowych.</w:t>
      </w:r>
      <w:r w:rsidR="00C02FF7">
        <w:rPr>
          <w:rFonts w:ascii="Calibri" w:eastAsia="Times New Roman" w:hAnsi="Calibri" w:cs="Calibri"/>
          <w:i/>
          <w:iCs/>
          <w:kern w:val="0"/>
          <w:lang w:eastAsia="pl-PL"/>
          <w14:ligatures w14:val="none"/>
        </w:rPr>
        <w:t xml:space="preserve"> </w:t>
      </w:r>
      <w:r w:rsidR="00A320BA" w:rsidRPr="00A320BA">
        <w:rPr>
          <w:rFonts w:ascii="Calibri" w:eastAsia="Times New Roman" w:hAnsi="Calibri" w:cs="Calibri"/>
          <w:i/>
          <w:iCs/>
          <w:kern w:val="0"/>
          <w:lang w:eastAsia="pl-PL"/>
          <w14:ligatures w14:val="none"/>
        </w:rPr>
        <w:t>Wyniki</w:t>
      </w:r>
      <w:r w:rsidR="00C02FF7">
        <w:rPr>
          <w:rFonts w:ascii="Calibri" w:eastAsia="Times New Roman" w:hAnsi="Calibri" w:cs="Calibri"/>
          <w:i/>
          <w:iCs/>
          <w:kern w:val="0"/>
          <w:lang w:eastAsia="pl-PL"/>
          <w14:ligatures w14:val="none"/>
        </w:rPr>
        <w:t xml:space="preserve"> </w:t>
      </w:r>
      <w:r w:rsidR="00A320BA" w:rsidRPr="00A320BA">
        <w:rPr>
          <w:rFonts w:ascii="Calibri" w:eastAsia="Times New Roman" w:hAnsi="Calibri" w:cs="Calibri"/>
          <w:i/>
          <w:iCs/>
          <w:kern w:val="0"/>
          <w:lang w:eastAsia="pl-PL"/>
          <w14:ligatures w14:val="none"/>
        </w:rPr>
        <w:t>te są</w:t>
      </w:r>
      <w:r w:rsidR="00C02FF7">
        <w:rPr>
          <w:rFonts w:ascii="Calibri" w:eastAsia="Times New Roman" w:hAnsi="Calibri" w:cs="Calibri"/>
          <w:i/>
          <w:iCs/>
          <w:kern w:val="0"/>
          <w:lang w:eastAsia="pl-PL"/>
          <w14:ligatures w14:val="none"/>
        </w:rPr>
        <w:t xml:space="preserve"> </w:t>
      </w:r>
      <w:r w:rsidR="00A320BA" w:rsidRPr="00A320BA">
        <w:rPr>
          <w:rFonts w:ascii="Calibri" w:eastAsia="Times New Roman" w:hAnsi="Calibri" w:cs="Calibri"/>
          <w:i/>
          <w:iCs/>
          <w:kern w:val="0"/>
          <w:lang w:eastAsia="pl-PL"/>
          <w14:ligatures w14:val="none"/>
        </w:rPr>
        <w:t>efektem skutecznie prowadzonych działań sprzedażowych oraz systematycznego rozwoju</w:t>
      </w:r>
      <w:r w:rsidR="00C02FF7">
        <w:rPr>
          <w:rFonts w:ascii="Calibri" w:eastAsia="Times New Roman" w:hAnsi="Calibri" w:cs="Calibri"/>
          <w:i/>
          <w:iCs/>
          <w:kern w:val="0"/>
          <w:lang w:eastAsia="pl-PL"/>
          <w14:ligatures w14:val="none"/>
        </w:rPr>
        <w:t xml:space="preserve"> </w:t>
      </w:r>
      <w:r w:rsidR="00A320BA" w:rsidRPr="00A320BA">
        <w:rPr>
          <w:rFonts w:ascii="Calibri" w:eastAsia="Times New Roman" w:hAnsi="Calibri" w:cs="Calibri"/>
          <w:i/>
          <w:iCs/>
          <w:kern w:val="0"/>
          <w:lang w:eastAsia="pl-PL"/>
          <w14:ligatures w14:val="none"/>
        </w:rPr>
        <w:t>portfolio produktów</w:t>
      </w:r>
      <w:r w:rsidR="008A69D8">
        <w:rPr>
          <w:rFonts w:ascii="Calibri" w:eastAsia="Times New Roman" w:hAnsi="Calibri" w:cs="Calibri"/>
          <w:i/>
          <w:iCs/>
          <w:kern w:val="0"/>
          <w:lang w:eastAsia="pl-PL"/>
          <w14:ligatures w14:val="none"/>
        </w:rPr>
        <w:t>”</w:t>
      </w:r>
      <w:r w:rsidR="00E260F5">
        <w:rPr>
          <w:rFonts w:ascii="Calibri" w:eastAsia="Times New Roman" w:hAnsi="Calibri" w:cs="Calibri"/>
          <w:i/>
          <w:iCs/>
          <w:kern w:val="0"/>
          <w:lang w:eastAsia="pl-PL"/>
          <w14:ligatures w14:val="none"/>
        </w:rPr>
        <w:t xml:space="preserve"> </w:t>
      </w:r>
      <w:r w:rsidR="001E6B62">
        <w:rPr>
          <w:rFonts w:ascii="Calibri" w:eastAsia="Times New Roman" w:hAnsi="Calibri" w:cs="Calibri"/>
          <w:i/>
          <w:iCs/>
          <w:kern w:val="0"/>
          <w:lang w:eastAsia="pl-PL"/>
          <w14:ligatures w14:val="none"/>
        </w:rPr>
        <w:t>-</w:t>
      </w:r>
      <w:r w:rsidR="00E260F5">
        <w:rPr>
          <w:rFonts w:ascii="Calibri" w:eastAsia="Times New Roman" w:hAnsi="Calibri" w:cs="Calibri"/>
          <w:i/>
          <w:iCs/>
          <w:kern w:val="0"/>
          <w:lang w:eastAsia="pl-PL"/>
          <w14:ligatures w14:val="none"/>
        </w:rPr>
        <w:t xml:space="preserve"> </w:t>
      </w:r>
      <w:r w:rsidR="0045080F">
        <w:rPr>
          <w:rFonts w:ascii="Calibri" w:eastAsia="Times New Roman" w:hAnsi="Calibri" w:cs="Calibri"/>
          <w:b/>
          <w:bCs/>
          <w:kern w:val="0"/>
          <w:lang w:eastAsia="pl-PL"/>
          <w14:ligatures w14:val="none"/>
        </w:rPr>
        <w:t xml:space="preserve">dowiadujemy się </w:t>
      </w:r>
      <w:r w:rsidR="008A69D8" w:rsidRPr="00671BF6">
        <w:rPr>
          <w:rFonts w:ascii="Calibri" w:eastAsia="Times New Roman" w:hAnsi="Calibri" w:cs="Calibri"/>
          <w:b/>
          <w:bCs/>
          <w:kern w:val="0"/>
          <w:lang w:eastAsia="pl-PL"/>
          <w14:ligatures w14:val="none"/>
        </w:rPr>
        <w:t>na wstępie komentarza operacyjnego Zarządu Milisystem S.A. za raportowany okres.</w:t>
      </w:r>
    </w:p>
    <w:p w14:paraId="315D4BEA" w14:textId="5D03C722" w:rsidR="00EF03C1" w:rsidRPr="006A7844" w:rsidRDefault="008A69D8" w:rsidP="00D85027">
      <w:pPr>
        <w:spacing w:before="100" w:beforeAutospacing="1" w:after="100" w:afterAutospacing="1" w:line="240" w:lineRule="auto"/>
        <w:jc w:val="both"/>
        <w:rPr>
          <w:rFonts w:ascii="Calibri" w:eastAsia="Times New Roman" w:hAnsi="Calibri" w:cs="Calibri"/>
          <w:kern w:val="0"/>
          <w:lang w:eastAsia="pl-PL"/>
          <w14:ligatures w14:val="none"/>
        </w:rPr>
      </w:pPr>
      <w:r>
        <w:rPr>
          <w:rFonts w:ascii="Calibri" w:eastAsia="Times New Roman" w:hAnsi="Calibri" w:cs="Calibri"/>
          <w:i/>
          <w:iCs/>
          <w:kern w:val="0"/>
          <w:lang w:eastAsia="pl-PL"/>
          <w14:ligatures w14:val="none"/>
        </w:rPr>
        <w:t>„</w:t>
      </w:r>
      <w:r w:rsidR="00EF03C1" w:rsidRPr="00AD2958">
        <w:rPr>
          <w:rFonts w:ascii="Calibri" w:eastAsia="Times New Roman" w:hAnsi="Calibri" w:cs="Calibri"/>
          <w:i/>
          <w:iCs/>
          <w:kern w:val="0"/>
          <w:lang w:eastAsia="pl-PL"/>
          <w14:ligatures w14:val="none"/>
        </w:rPr>
        <w:t xml:space="preserve">Podpisaliśmy umowę o współpracy z firmą </w:t>
      </w:r>
      <w:proofErr w:type="spellStart"/>
      <w:r w:rsidR="00EF03C1" w:rsidRPr="00AD2958">
        <w:rPr>
          <w:rFonts w:ascii="Calibri" w:eastAsia="Times New Roman" w:hAnsi="Calibri" w:cs="Calibri"/>
          <w:i/>
          <w:iCs/>
          <w:kern w:val="0"/>
          <w:lang w:eastAsia="pl-PL"/>
          <w14:ligatures w14:val="none"/>
        </w:rPr>
        <w:t>Sunway</w:t>
      </w:r>
      <w:proofErr w:type="spellEnd"/>
      <w:r w:rsidR="00EF03C1" w:rsidRPr="00AD2958">
        <w:rPr>
          <w:rFonts w:ascii="Calibri" w:eastAsia="Times New Roman" w:hAnsi="Calibri" w:cs="Calibri"/>
          <w:i/>
          <w:iCs/>
          <w:kern w:val="0"/>
          <w:lang w:eastAsia="pl-PL"/>
          <w14:ligatures w14:val="none"/>
        </w:rPr>
        <w:t xml:space="preserve"> Network S.A. co pozwoliło na</w:t>
      </w:r>
      <w:r w:rsidR="00EF03C1">
        <w:rPr>
          <w:rFonts w:ascii="Calibri" w:eastAsia="Times New Roman" w:hAnsi="Calibri" w:cs="Calibri"/>
          <w:i/>
          <w:iCs/>
          <w:kern w:val="0"/>
          <w:lang w:eastAsia="pl-PL"/>
          <w14:ligatures w14:val="none"/>
        </w:rPr>
        <w:t xml:space="preserve"> </w:t>
      </w:r>
      <w:r w:rsidR="00EF03C1" w:rsidRPr="00AD2958">
        <w:rPr>
          <w:rFonts w:ascii="Calibri" w:eastAsia="Times New Roman" w:hAnsi="Calibri" w:cs="Calibri"/>
          <w:i/>
          <w:iCs/>
          <w:kern w:val="0"/>
          <w:lang w:eastAsia="pl-PL"/>
          <w14:ligatures w14:val="none"/>
        </w:rPr>
        <w:t>rozszerzenie naszej oferty o nowoczesne trenażery strzeleckie</w:t>
      </w:r>
      <w:r w:rsidR="00D85027">
        <w:rPr>
          <w:rFonts w:ascii="Calibri" w:eastAsia="Times New Roman" w:hAnsi="Calibri" w:cs="Calibri"/>
          <w:i/>
          <w:iCs/>
          <w:kern w:val="0"/>
          <w:lang w:eastAsia="pl-PL"/>
          <w14:ligatures w14:val="none"/>
        </w:rPr>
        <w:t>.</w:t>
      </w:r>
      <w:r w:rsidR="006A7844">
        <w:rPr>
          <w:rFonts w:ascii="Calibri" w:eastAsia="Times New Roman" w:hAnsi="Calibri" w:cs="Calibri"/>
          <w:i/>
          <w:iCs/>
          <w:kern w:val="0"/>
          <w:lang w:eastAsia="pl-PL"/>
          <w14:ligatures w14:val="none"/>
        </w:rPr>
        <w:t xml:space="preserve"> </w:t>
      </w:r>
      <w:r w:rsidR="00D85027" w:rsidRPr="00D85027">
        <w:rPr>
          <w:rFonts w:ascii="Calibri" w:eastAsia="Times New Roman" w:hAnsi="Calibri" w:cs="Calibri"/>
          <w:i/>
          <w:iCs/>
          <w:kern w:val="0"/>
          <w:lang w:eastAsia="pl-PL"/>
          <w14:ligatures w14:val="none"/>
        </w:rPr>
        <w:t>Porozumienie to umożliwiło integrację nowych technologii i otworzyło dostęp do nowych</w:t>
      </w:r>
      <w:r w:rsidR="006A7844">
        <w:rPr>
          <w:rFonts w:ascii="Calibri" w:eastAsia="Times New Roman" w:hAnsi="Calibri" w:cs="Calibri"/>
          <w:i/>
          <w:iCs/>
          <w:kern w:val="0"/>
          <w:lang w:eastAsia="pl-PL"/>
          <w14:ligatures w14:val="none"/>
        </w:rPr>
        <w:t xml:space="preserve"> </w:t>
      </w:r>
      <w:r w:rsidR="00D85027" w:rsidRPr="00D85027">
        <w:rPr>
          <w:rFonts w:ascii="Calibri" w:eastAsia="Times New Roman" w:hAnsi="Calibri" w:cs="Calibri"/>
          <w:i/>
          <w:iCs/>
          <w:kern w:val="0"/>
          <w:lang w:eastAsia="pl-PL"/>
          <w14:ligatures w14:val="none"/>
        </w:rPr>
        <w:t>grup odbiorców, w tym jednostek edukacyjnych i organizacji sportowo-obronnych</w:t>
      </w:r>
      <w:r w:rsidR="00F36670">
        <w:rPr>
          <w:rFonts w:ascii="Calibri" w:eastAsia="Times New Roman" w:hAnsi="Calibri" w:cs="Calibri"/>
          <w:i/>
          <w:iCs/>
          <w:kern w:val="0"/>
          <w:lang w:eastAsia="pl-PL"/>
          <w14:ligatures w14:val="none"/>
        </w:rPr>
        <w:t xml:space="preserve">” </w:t>
      </w:r>
      <w:r w:rsidR="00D84E30">
        <w:rPr>
          <w:rFonts w:ascii="Calibri" w:eastAsia="Times New Roman" w:hAnsi="Calibri" w:cs="Calibri"/>
          <w:kern w:val="0"/>
          <w:lang w:eastAsia="pl-PL"/>
          <w14:ligatures w14:val="none"/>
        </w:rPr>
        <w:t xml:space="preserve">- </w:t>
      </w:r>
      <w:r w:rsidR="00D84E30" w:rsidRPr="00380E83">
        <w:rPr>
          <w:rFonts w:ascii="Calibri" w:eastAsia="Times New Roman" w:hAnsi="Calibri" w:cs="Calibri"/>
          <w:b/>
          <w:bCs/>
          <w:kern w:val="0"/>
          <w:lang w:eastAsia="pl-PL"/>
          <w14:ligatures w14:val="none"/>
        </w:rPr>
        <w:t xml:space="preserve">czytamy dalej </w:t>
      </w:r>
      <w:r w:rsidR="00DE14A0">
        <w:rPr>
          <w:rFonts w:ascii="Calibri" w:eastAsia="Times New Roman" w:hAnsi="Calibri" w:cs="Calibri"/>
          <w:b/>
          <w:bCs/>
          <w:kern w:val="0"/>
          <w:lang w:eastAsia="pl-PL"/>
          <w14:ligatures w14:val="none"/>
        </w:rPr>
        <w:t xml:space="preserve">na temat podjętych </w:t>
      </w:r>
      <w:r w:rsidR="005C39B6" w:rsidRPr="00380E83">
        <w:rPr>
          <w:rFonts w:ascii="Calibri" w:eastAsia="Times New Roman" w:hAnsi="Calibri" w:cs="Calibri"/>
          <w:b/>
          <w:bCs/>
          <w:kern w:val="0"/>
          <w:lang w:eastAsia="pl-PL"/>
          <w14:ligatures w14:val="none"/>
        </w:rPr>
        <w:t>czynności o charakterze produktowym.</w:t>
      </w:r>
    </w:p>
    <w:p w14:paraId="6C4D1A3A" w14:textId="63177DF4" w:rsidR="00A06C09" w:rsidRPr="00A06C09" w:rsidRDefault="00A06C09" w:rsidP="0041649A">
      <w:pPr>
        <w:spacing w:before="100" w:beforeAutospacing="1" w:after="100" w:afterAutospacing="1" w:line="240" w:lineRule="auto"/>
        <w:jc w:val="both"/>
        <w:rPr>
          <w:rFonts w:ascii="Calibri" w:eastAsia="Times New Roman" w:hAnsi="Calibri" w:cs="Calibri"/>
          <w:kern w:val="0"/>
          <w:lang w:eastAsia="pl-PL"/>
          <w14:ligatures w14:val="none"/>
        </w:rPr>
      </w:pPr>
      <w:r>
        <w:rPr>
          <w:rFonts w:ascii="Calibri" w:eastAsia="Times New Roman" w:hAnsi="Calibri" w:cs="Calibri"/>
          <w:i/>
          <w:iCs/>
          <w:kern w:val="0"/>
          <w:lang w:eastAsia="pl-PL"/>
          <w14:ligatures w14:val="none"/>
        </w:rPr>
        <w:t>„</w:t>
      </w:r>
      <w:r w:rsidRPr="00A06C09">
        <w:rPr>
          <w:rFonts w:ascii="Calibri" w:eastAsia="Times New Roman" w:hAnsi="Calibri" w:cs="Calibri"/>
          <w:i/>
          <w:iCs/>
          <w:kern w:val="0"/>
          <w:lang w:eastAsia="pl-PL"/>
          <w14:ligatures w14:val="none"/>
        </w:rPr>
        <w:t>Spółka podjęła szereg działań przygotowujących do wejścia na rynki zagraniczne</w:t>
      </w:r>
      <w:r>
        <w:rPr>
          <w:rFonts w:ascii="Calibri" w:eastAsia="Times New Roman" w:hAnsi="Calibri" w:cs="Calibri"/>
          <w:i/>
          <w:iCs/>
          <w:kern w:val="0"/>
          <w:lang w:eastAsia="pl-PL"/>
          <w14:ligatures w14:val="none"/>
        </w:rPr>
        <w:t xml:space="preserve">, </w:t>
      </w:r>
      <w:r w:rsidRPr="00A06C09">
        <w:rPr>
          <w:rFonts w:ascii="Calibri" w:eastAsia="Times New Roman" w:hAnsi="Calibri" w:cs="Calibri"/>
          <w:i/>
          <w:iCs/>
          <w:kern w:val="0"/>
          <w:lang w:eastAsia="pl-PL"/>
          <w14:ligatures w14:val="none"/>
        </w:rPr>
        <w:t>zarówno w zakresie certyfikacji produktów, jak i nawiązania relacji handlowych.</w:t>
      </w:r>
      <w:r>
        <w:rPr>
          <w:rFonts w:ascii="Calibri" w:eastAsia="Times New Roman" w:hAnsi="Calibri" w:cs="Calibri"/>
          <w:i/>
          <w:iCs/>
          <w:kern w:val="0"/>
          <w:lang w:eastAsia="pl-PL"/>
          <w14:ligatures w14:val="none"/>
        </w:rPr>
        <w:t xml:space="preserve"> </w:t>
      </w:r>
      <w:r w:rsidRPr="00A06C09">
        <w:rPr>
          <w:rFonts w:ascii="Calibri" w:eastAsia="Times New Roman" w:hAnsi="Calibri" w:cs="Calibri"/>
          <w:i/>
          <w:iCs/>
          <w:kern w:val="0"/>
          <w:lang w:eastAsia="pl-PL"/>
          <w14:ligatures w14:val="none"/>
        </w:rPr>
        <w:t>Równolegle prowadzono działania związane z optymalizacją łańcucha dostaw oraz unowocześnianiem komponentów elektronicznych i mechanicznych</w:t>
      </w:r>
      <w:r>
        <w:rPr>
          <w:rFonts w:ascii="Calibri" w:eastAsia="Times New Roman" w:hAnsi="Calibri" w:cs="Calibri"/>
          <w:i/>
          <w:iCs/>
          <w:kern w:val="0"/>
          <w:lang w:eastAsia="pl-PL"/>
          <w14:ligatures w14:val="none"/>
        </w:rPr>
        <w:t xml:space="preserve">, </w:t>
      </w:r>
      <w:r w:rsidRPr="00A06C09">
        <w:rPr>
          <w:rFonts w:ascii="Calibri" w:eastAsia="Times New Roman" w:hAnsi="Calibri" w:cs="Calibri"/>
          <w:i/>
          <w:iCs/>
          <w:kern w:val="0"/>
          <w:lang w:eastAsia="pl-PL"/>
          <w14:ligatures w14:val="none"/>
        </w:rPr>
        <w:t>stosowanych w replikach i emiterach IR</w:t>
      </w:r>
      <w:r>
        <w:rPr>
          <w:rFonts w:ascii="Calibri" w:eastAsia="Times New Roman" w:hAnsi="Calibri" w:cs="Calibri"/>
          <w:i/>
          <w:iCs/>
          <w:kern w:val="0"/>
          <w:lang w:eastAsia="pl-PL"/>
          <w14:ligatures w14:val="none"/>
        </w:rPr>
        <w:t xml:space="preserve">” </w:t>
      </w:r>
      <w:r w:rsidR="00120360">
        <w:rPr>
          <w:rFonts w:ascii="Calibri" w:eastAsia="Times New Roman" w:hAnsi="Calibri" w:cs="Calibri"/>
          <w:kern w:val="0"/>
          <w:lang w:eastAsia="pl-PL"/>
          <w14:ligatures w14:val="none"/>
        </w:rPr>
        <w:t xml:space="preserve">- </w:t>
      </w:r>
      <w:r w:rsidR="00662A2B">
        <w:rPr>
          <w:rFonts w:ascii="Calibri" w:eastAsia="Times New Roman" w:hAnsi="Calibri" w:cs="Calibri"/>
          <w:b/>
          <w:bCs/>
          <w:kern w:val="0"/>
          <w:lang w:eastAsia="pl-PL"/>
          <w14:ligatures w14:val="none"/>
        </w:rPr>
        <w:t xml:space="preserve">wskazano </w:t>
      </w:r>
      <w:r w:rsidR="00EF0196">
        <w:rPr>
          <w:rFonts w:ascii="Calibri" w:eastAsia="Times New Roman" w:hAnsi="Calibri" w:cs="Calibri"/>
          <w:b/>
          <w:bCs/>
          <w:kern w:val="0"/>
          <w:lang w:eastAsia="pl-PL"/>
          <w14:ligatures w14:val="none"/>
        </w:rPr>
        <w:t xml:space="preserve">na </w:t>
      </w:r>
      <w:r w:rsidR="006E71C2">
        <w:rPr>
          <w:rFonts w:ascii="Calibri" w:eastAsia="Times New Roman" w:hAnsi="Calibri" w:cs="Calibri"/>
          <w:b/>
          <w:bCs/>
          <w:kern w:val="0"/>
          <w:lang w:eastAsia="pl-PL"/>
          <w14:ligatures w14:val="none"/>
        </w:rPr>
        <w:t xml:space="preserve">istotne </w:t>
      </w:r>
      <w:r w:rsidRPr="007B1415">
        <w:rPr>
          <w:rFonts w:ascii="Calibri" w:eastAsia="Times New Roman" w:hAnsi="Calibri" w:cs="Calibri"/>
          <w:b/>
          <w:bCs/>
          <w:kern w:val="0"/>
          <w:lang w:eastAsia="pl-PL"/>
          <w14:ligatures w14:val="none"/>
        </w:rPr>
        <w:t xml:space="preserve">działania </w:t>
      </w:r>
      <w:r w:rsidR="00EF0196">
        <w:rPr>
          <w:rFonts w:ascii="Calibri" w:eastAsia="Times New Roman" w:hAnsi="Calibri" w:cs="Calibri"/>
          <w:b/>
          <w:bCs/>
          <w:kern w:val="0"/>
          <w:lang w:eastAsia="pl-PL"/>
          <w14:ligatures w14:val="none"/>
        </w:rPr>
        <w:t xml:space="preserve">strategiczne </w:t>
      </w:r>
      <w:r w:rsidR="0067320B">
        <w:rPr>
          <w:rFonts w:ascii="Calibri" w:eastAsia="Times New Roman" w:hAnsi="Calibri" w:cs="Calibri"/>
          <w:b/>
          <w:bCs/>
          <w:kern w:val="0"/>
          <w:lang w:eastAsia="pl-PL"/>
          <w14:ligatures w14:val="none"/>
        </w:rPr>
        <w:t xml:space="preserve">oraz </w:t>
      </w:r>
      <w:r w:rsidR="007348F3">
        <w:rPr>
          <w:rFonts w:ascii="Calibri" w:eastAsia="Times New Roman" w:hAnsi="Calibri" w:cs="Calibri"/>
          <w:b/>
          <w:bCs/>
          <w:kern w:val="0"/>
          <w:lang w:eastAsia="pl-PL"/>
          <w14:ligatures w14:val="none"/>
        </w:rPr>
        <w:t>optymalizacyjne</w:t>
      </w:r>
      <w:r w:rsidR="0067320B">
        <w:rPr>
          <w:rFonts w:ascii="Calibri" w:eastAsia="Times New Roman" w:hAnsi="Calibri" w:cs="Calibri"/>
          <w:b/>
          <w:bCs/>
          <w:kern w:val="0"/>
          <w:lang w:eastAsia="pl-PL"/>
          <w14:ligatures w14:val="none"/>
        </w:rPr>
        <w:t xml:space="preserve">, mające miejsce </w:t>
      </w:r>
      <w:r w:rsidR="007B1415" w:rsidRPr="007B1415">
        <w:rPr>
          <w:rFonts w:ascii="Calibri" w:eastAsia="Times New Roman" w:hAnsi="Calibri" w:cs="Calibri"/>
          <w:b/>
          <w:bCs/>
          <w:kern w:val="0"/>
          <w:lang w:eastAsia="pl-PL"/>
          <w14:ligatures w14:val="none"/>
        </w:rPr>
        <w:t>w I kw. 2025 r</w:t>
      </w:r>
      <w:r w:rsidR="007B1415">
        <w:rPr>
          <w:rFonts w:ascii="Calibri" w:eastAsia="Times New Roman" w:hAnsi="Calibri" w:cs="Calibri"/>
          <w:b/>
          <w:bCs/>
          <w:kern w:val="0"/>
          <w:lang w:eastAsia="pl-PL"/>
          <w14:ligatures w14:val="none"/>
        </w:rPr>
        <w:t>.</w:t>
      </w:r>
    </w:p>
    <w:p w14:paraId="40749BA7" w14:textId="606582F1" w:rsidR="004E58D3" w:rsidRDefault="00E52514" w:rsidP="0041649A">
      <w:pPr>
        <w:spacing w:before="100" w:beforeAutospacing="1" w:after="100" w:afterAutospacing="1" w:line="240" w:lineRule="auto"/>
        <w:jc w:val="both"/>
        <w:rPr>
          <w:rFonts w:ascii="Calibri" w:eastAsia="Times New Roman" w:hAnsi="Calibri" w:cs="Calibri"/>
          <w:b/>
          <w:bCs/>
          <w:kern w:val="0"/>
          <w:lang w:eastAsia="pl-PL"/>
          <w14:ligatures w14:val="none"/>
        </w:rPr>
      </w:pPr>
      <w:r w:rsidRPr="00232F6A">
        <w:rPr>
          <w:rFonts w:ascii="Calibri" w:eastAsia="Times New Roman" w:hAnsi="Calibri" w:cs="Calibri"/>
          <w:b/>
          <w:bCs/>
          <w:kern w:val="0"/>
          <w:lang w:eastAsia="pl-PL"/>
          <w14:ligatures w14:val="none"/>
        </w:rPr>
        <w:t xml:space="preserve">W </w:t>
      </w:r>
      <w:r w:rsidR="004E58D3" w:rsidRPr="00232F6A">
        <w:rPr>
          <w:rFonts w:ascii="Calibri" w:eastAsia="Times New Roman" w:hAnsi="Calibri" w:cs="Calibri"/>
          <w:b/>
          <w:bCs/>
          <w:kern w:val="0"/>
          <w:lang w:eastAsia="pl-PL"/>
          <w14:ligatures w14:val="none"/>
        </w:rPr>
        <w:t>marc</w:t>
      </w:r>
      <w:r w:rsidRPr="00232F6A">
        <w:rPr>
          <w:rFonts w:ascii="Calibri" w:eastAsia="Times New Roman" w:hAnsi="Calibri" w:cs="Calibri"/>
          <w:b/>
          <w:bCs/>
          <w:kern w:val="0"/>
          <w:lang w:eastAsia="pl-PL"/>
          <w14:ligatures w14:val="none"/>
        </w:rPr>
        <w:t>u</w:t>
      </w:r>
      <w:r w:rsidR="004E58D3" w:rsidRPr="00232F6A">
        <w:rPr>
          <w:rFonts w:ascii="Calibri" w:eastAsia="Times New Roman" w:hAnsi="Calibri" w:cs="Calibri"/>
          <w:b/>
          <w:bCs/>
          <w:kern w:val="0"/>
          <w:lang w:eastAsia="pl-PL"/>
          <w14:ligatures w14:val="none"/>
        </w:rPr>
        <w:t xml:space="preserve"> akcjonariusze</w:t>
      </w:r>
      <w:r w:rsidRPr="00232F6A">
        <w:rPr>
          <w:rFonts w:ascii="Calibri" w:eastAsia="Times New Roman" w:hAnsi="Calibri" w:cs="Calibri"/>
          <w:b/>
          <w:bCs/>
          <w:kern w:val="0"/>
          <w:lang w:eastAsia="pl-PL"/>
          <w14:ligatures w14:val="none"/>
        </w:rPr>
        <w:t xml:space="preserve"> </w:t>
      </w:r>
      <w:r w:rsidR="004E58D3" w:rsidRPr="00232F6A">
        <w:rPr>
          <w:rFonts w:ascii="Calibri" w:eastAsia="Times New Roman" w:hAnsi="Calibri" w:cs="Calibri"/>
          <w:b/>
          <w:bCs/>
          <w:kern w:val="0"/>
          <w:lang w:eastAsia="pl-PL"/>
          <w14:ligatures w14:val="none"/>
        </w:rPr>
        <w:t>Milisystem S.A., podczas Nadzwyczajnego Walnego Zgromadzenia podjęli uchwał</w:t>
      </w:r>
      <w:r w:rsidRPr="00232F6A">
        <w:rPr>
          <w:rFonts w:ascii="Calibri" w:eastAsia="Times New Roman" w:hAnsi="Calibri" w:cs="Calibri"/>
          <w:b/>
          <w:bCs/>
          <w:kern w:val="0"/>
          <w:lang w:eastAsia="pl-PL"/>
          <w14:ligatures w14:val="none"/>
        </w:rPr>
        <w:t xml:space="preserve">y dotyczące zmian w statucie spółki oraz zatwierdzili strategię rozwoju na kolejne lata. </w:t>
      </w:r>
      <w:r w:rsidR="00B55DFD">
        <w:rPr>
          <w:rFonts w:ascii="Calibri" w:eastAsia="Times New Roman" w:hAnsi="Calibri" w:cs="Calibri"/>
          <w:b/>
          <w:bCs/>
          <w:kern w:val="0"/>
          <w:lang w:eastAsia="pl-PL"/>
          <w14:ligatures w14:val="none"/>
        </w:rPr>
        <w:t>Również</w:t>
      </w:r>
      <w:r w:rsidR="00870AC1">
        <w:rPr>
          <w:rFonts w:ascii="Calibri" w:eastAsia="Times New Roman" w:hAnsi="Calibri" w:cs="Calibri"/>
          <w:b/>
          <w:bCs/>
          <w:kern w:val="0"/>
          <w:lang w:eastAsia="pl-PL"/>
          <w14:ligatures w14:val="none"/>
        </w:rPr>
        <w:t xml:space="preserve"> </w:t>
      </w:r>
      <w:r w:rsidR="00B55DFD">
        <w:rPr>
          <w:rFonts w:ascii="Calibri" w:eastAsia="Times New Roman" w:hAnsi="Calibri" w:cs="Calibri"/>
          <w:b/>
          <w:bCs/>
          <w:kern w:val="0"/>
          <w:lang w:eastAsia="pl-PL"/>
          <w14:ligatures w14:val="none"/>
        </w:rPr>
        <w:t xml:space="preserve">w </w:t>
      </w:r>
      <w:r w:rsidR="00964481" w:rsidRPr="00232F6A">
        <w:rPr>
          <w:rFonts w:ascii="Calibri" w:eastAsia="Times New Roman" w:hAnsi="Calibri" w:cs="Calibri"/>
          <w:b/>
          <w:bCs/>
          <w:kern w:val="0"/>
          <w:lang w:eastAsia="pl-PL"/>
          <w14:ligatures w14:val="none"/>
        </w:rPr>
        <w:t xml:space="preserve">pierwszym kwartale tego roku nastąpiły </w:t>
      </w:r>
      <w:r w:rsidR="00B55DFD">
        <w:rPr>
          <w:rFonts w:ascii="Calibri" w:eastAsia="Times New Roman" w:hAnsi="Calibri" w:cs="Calibri"/>
          <w:b/>
          <w:bCs/>
          <w:kern w:val="0"/>
          <w:lang w:eastAsia="pl-PL"/>
          <w14:ligatures w14:val="none"/>
        </w:rPr>
        <w:t xml:space="preserve">istotne </w:t>
      </w:r>
      <w:r w:rsidR="00964481" w:rsidRPr="00232F6A">
        <w:rPr>
          <w:rFonts w:ascii="Calibri" w:eastAsia="Times New Roman" w:hAnsi="Calibri" w:cs="Calibri"/>
          <w:b/>
          <w:bCs/>
          <w:kern w:val="0"/>
          <w:lang w:eastAsia="pl-PL"/>
          <w14:ligatures w14:val="none"/>
        </w:rPr>
        <w:t>zmiany w strukturze akcjonariatu</w:t>
      </w:r>
      <w:r w:rsidR="00F2414B" w:rsidRPr="00232F6A">
        <w:rPr>
          <w:rFonts w:ascii="Calibri" w:eastAsia="Times New Roman" w:hAnsi="Calibri" w:cs="Calibri"/>
          <w:b/>
          <w:bCs/>
          <w:kern w:val="0"/>
          <w:lang w:eastAsia="pl-PL"/>
          <w14:ligatures w14:val="none"/>
        </w:rPr>
        <w:t xml:space="preserve">, </w:t>
      </w:r>
      <w:r w:rsidR="00870AC1">
        <w:rPr>
          <w:rFonts w:ascii="Calibri" w:eastAsia="Times New Roman" w:hAnsi="Calibri" w:cs="Calibri"/>
          <w:b/>
          <w:bCs/>
          <w:kern w:val="0"/>
          <w:lang w:eastAsia="pl-PL"/>
          <w14:ligatures w14:val="none"/>
        </w:rPr>
        <w:t>świadczące o rosnącym zainteresowaniu spółką ze strony inwestorów giełdowych</w:t>
      </w:r>
      <w:r w:rsidR="00460E80">
        <w:rPr>
          <w:rFonts w:ascii="Calibri" w:eastAsia="Times New Roman" w:hAnsi="Calibri" w:cs="Calibri"/>
          <w:b/>
          <w:bCs/>
          <w:kern w:val="0"/>
          <w:lang w:eastAsia="pl-PL"/>
          <w14:ligatures w14:val="none"/>
        </w:rPr>
        <w:t xml:space="preserve"> oraz powołanie nowej Prezes Zarządu.</w:t>
      </w:r>
    </w:p>
    <w:p w14:paraId="2CF657E1" w14:textId="77777777" w:rsidR="00F85AFD" w:rsidRDefault="008627E8" w:rsidP="008627E8">
      <w:pPr>
        <w:spacing w:before="100" w:beforeAutospacing="1" w:after="100" w:afterAutospacing="1" w:line="240" w:lineRule="auto"/>
        <w:jc w:val="both"/>
        <w:rPr>
          <w:rFonts w:ascii="Calibri" w:eastAsia="Times New Roman" w:hAnsi="Calibri" w:cs="Calibri"/>
          <w:b/>
          <w:bCs/>
          <w:kern w:val="0"/>
          <w:lang w:eastAsia="pl-PL"/>
          <w14:ligatures w14:val="none"/>
        </w:rPr>
      </w:pPr>
      <w:r w:rsidRPr="008627E8">
        <w:rPr>
          <w:rFonts w:ascii="Calibri" w:eastAsia="Times New Roman" w:hAnsi="Calibri" w:cs="Calibri"/>
          <w:i/>
          <w:iCs/>
          <w:kern w:val="0"/>
          <w:lang w:eastAsia="pl-PL"/>
          <w14:ligatures w14:val="none"/>
        </w:rPr>
        <w:t xml:space="preserve">„Na początku drugiego kwartału podpisaliśmy Memorandum Inwestycyjne z firmą ALS Zawadzki sp. k., otwierające drogę do długoterminowej współpracy w obszarze produkcji amunicji małokalibrowej. W ramach porozumienia Milisystem S.A. udzieli wsparcia finansowego na zakup specjalistycznej maszyny oraz dalszy rozwój potencjału produkcyjnego Partnera. Docelowo współpraca może objąć wspólną inwestycję w produkcję amunicji kalibru 7,62 mm, istotnej z punktu widzenia nowoczesnych potrzeb </w:t>
      </w:r>
      <w:r w:rsidRPr="008627E8">
        <w:rPr>
          <w:rFonts w:ascii="Calibri" w:eastAsia="Times New Roman" w:hAnsi="Calibri" w:cs="Calibri"/>
          <w:i/>
          <w:iCs/>
          <w:kern w:val="0"/>
          <w:lang w:eastAsia="pl-PL"/>
          <w14:ligatures w14:val="none"/>
        </w:rPr>
        <w:lastRenderedPageBreak/>
        <w:t>obronnych”</w:t>
      </w:r>
      <w:r>
        <w:rPr>
          <w:rFonts w:ascii="Calibri" w:eastAsia="Times New Roman" w:hAnsi="Calibri" w:cs="Calibri"/>
          <w:kern w:val="0"/>
          <w:lang w:eastAsia="pl-PL"/>
          <w14:ligatures w14:val="none"/>
        </w:rPr>
        <w:t xml:space="preserve"> </w:t>
      </w:r>
      <w:r w:rsidR="00C668AE">
        <w:rPr>
          <w:rFonts w:ascii="Calibri" w:eastAsia="Times New Roman" w:hAnsi="Calibri" w:cs="Calibri"/>
          <w:kern w:val="0"/>
          <w:lang w:eastAsia="pl-PL"/>
          <w14:ligatures w14:val="none"/>
        </w:rPr>
        <w:t>-</w:t>
      </w:r>
      <w:r>
        <w:rPr>
          <w:rFonts w:ascii="Calibri" w:eastAsia="Times New Roman" w:hAnsi="Calibri" w:cs="Calibri"/>
          <w:kern w:val="0"/>
          <w:lang w:eastAsia="pl-PL"/>
          <w14:ligatures w14:val="none"/>
        </w:rPr>
        <w:t xml:space="preserve"> </w:t>
      </w:r>
      <w:r w:rsidR="00805E82" w:rsidRPr="0075221A">
        <w:rPr>
          <w:rFonts w:ascii="Calibri" w:eastAsia="Times New Roman" w:hAnsi="Calibri" w:cs="Calibri"/>
          <w:b/>
          <w:bCs/>
          <w:kern w:val="0"/>
          <w:lang w:eastAsia="pl-PL"/>
          <w14:ligatures w14:val="none"/>
        </w:rPr>
        <w:t>podkreślono</w:t>
      </w:r>
      <w:r w:rsidR="00C668AE" w:rsidRPr="0075221A">
        <w:rPr>
          <w:rFonts w:ascii="Calibri" w:eastAsia="Times New Roman" w:hAnsi="Calibri" w:cs="Calibri"/>
          <w:b/>
          <w:bCs/>
          <w:kern w:val="0"/>
          <w:lang w:eastAsia="pl-PL"/>
          <w14:ligatures w14:val="none"/>
        </w:rPr>
        <w:t xml:space="preserve"> </w:t>
      </w:r>
      <w:r w:rsidR="00D52A5E">
        <w:rPr>
          <w:rFonts w:ascii="Calibri" w:eastAsia="Times New Roman" w:hAnsi="Calibri" w:cs="Calibri"/>
          <w:b/>
          <w:bCs/>
          <w:kern w:val="0"/>
          <w:lang w:eastAsia="pl-PL"/>
          <w14:ligatures w14:val="none"/>
        </w:rPr>
        <w:t xml:space="preserve">także </w:t>
      </w:r>
      <w:r w:rsidR="007F74A3" w:rsidRPr="0075221A">
        <w:rPr>
          <w:rFonts w:ascii="Calibri" w:eastAsia="Times New Roman" w:hAnsi="Calibri" w:cs="Calibri"/>
          <w:b/>
          <w:bCs/>
          <w:kern w:val="0"/>
          <w:lang w:eastAsia="pl-PL"/>
          <w14:ligatures w14:val="none"/>
        </w:rPr>
        <w:t xml:space="preserve">kluczową </w:t>
      </w:r>
      <w:r w:rsidR="006C1BF7" w:rsidRPr="0075221A">
        <w:rPr>
          <w:rFonts w:ascii="Calibri" w:eastAsia="Times New Roman" w:hAnsi="Calibri" w:cs="Calibri"/>
          <w:b/>
          <w:bCs/>
          <w:kern w:val="0"/>
          <w:lang w:eastAsia="pl-PL"/>
          <w14:ligatures w14:val="none"/>
        </w:rPr>
        <w:t xml:space="preserve">aktywność </w:t>
      </w:r>
      <w:r w:rsidR="006F3FFE">
        <w:rPr>
          <w:rFonts w:ascii="Calibri" w:eastAsia="Times New Roman" w:hAnsi="Calibri" w:cs="Calibri"/>
          <w:b/>
          <w:bCs/>
          <w:kern w:val="0"/>
          <w:lang w:eastAsia="pl-PL"/>
          <w14:ligatures w14:val="none"/>
        </w:rPr>
        <w:t xml:space="preserve">rozwojową </w:t>
      </w:r>
      <w:r w:rsidR="00D52A5E">
        <w:rPr>
          <w:rFonts w:ascii="Calibri" w:eastAsia="Times New Roman" w:hAnsi="Calibri" w:cs="Calibri"/>
          <w:b/>
          <w:bCs/>
          <w:kern w:val="0"/>
          <w:lang w:eastAsia="pl-PL"/>
          <w14:ligatures w14:val="none"/>
        </w:rPr>
        <w:t xml:space="preserve">spółki Milisystem </w:t>
      </w:r>
      <w:r w:rsidR="006F3FFE">
        <w:rPr>
          <w:rFonts w:ascii="Calibri" w:eastAsia="Times New Roman" w:hAnsi="Calibri" w:cs="Calibri"/>
          <w:b/>
          <w:bCs/>
          <w:kern w:val="0"/>
          <w:lang w:eastAsia="pl-PL"/>
          <w14:ligatures w14:val="none"/>
        </w:rPr>
        <w:t>oraz wymierne perspektywy biznesowe.</w:t>
      </w:r>
    </w:p>
    <w:p w14:paraId="5FADB03D" w14:textId="038F5726" w:rsidR="00A9705C" w:rsidRDefault="00FF61F0" w:rsidP="00FF61F0">
      <w:pPr>
        <w:spacing w:before="100" w:beforeAutospacing="1" w:after="100" w:afterAutospacing="1" w:line="240" w:lineRule="auto"/>
        <w:jc w:val="both"/>
        <w:rPr>
          <w:rFonts w:ascii="Calibri" w:eastAsia="Times New Roman" w:hAnsi="Calibri" w:cs="Calibri"/>
          <w:kern w:val="0"/>
          <w:lang w:eastAsia="pl-PL"/>
          <w14:ligatures w14:val="none"/>
        </w:rPr>
      </w:pPr>
      <w:r w:rsidRPr="00FF61F0">
        <w:rPr>
          <w:rFonts w:ascii="Calibri" w:eastAsia="Times New Roman" w:hAnsi="Calibri" w:cs="Calibri"/>
          <w:i/>
          <w:iCs/>
          <w:kern w:val="0"/>
          <w:lang w:eastAsia="pl-PL"/>
          <w14:ligatures w14:val="none"/>
        </w:rPr>
        <w:t xml:space="preserve">„W analizowanym okresie </w:t>
      </w:r>
      <w:r w:rsidR="00A9705C">
        <w:rPr>
          <w:rFonts w:ascii="Calibri" w:eastAsia="Times New Roman" w:hAnsi="Calibri" w:cs="Calibri"/>
          <w:i/>
          <w:iCs/>
          <w:kern w:val="0"/>
          <w:lang w:eastAsia="pl-PL"/>
          <w14:ligatures w14:val="none"/>
        </w:rPr>
        <w:t>s</w:t>
      </w:r>
      <w:r w:rsidRPr="00FF61F0">
        <w:rPr>
          <w:rFonts w:ascii="Calibri" w:eastAsia="Times New Roman" w:hAnsi="Calibri" w:cs="Calibri"/>
          <w:i/>
          <w:iCs/>
          <w:kern w:val="0"/>
          <w:lang w:eastAsia="pl-PL"/>
          <w14:ligatures w14:val="none"/>
        </w:rPr>
        <w:t xml:space="preserve">półka utrzymała stabilność finansową. Dodatnie przepływy pieniężne z działalności operacyjnej i konsekwentna polityka kosztowa przyczyniły się do poprawy marży brutto na sprzedaży. Spółka nie odnotowała istotnych zagrożeń dla płynności finansowej” </w:t>
      </w:r>
      <w:r w:rsidR="00545409">
        <w:rPr>
          <w:rFonts w:ascii="Calibri" w:eastAsia="Times New Roman" w:hAnsi="Calibri" w:cs="Calibri"/>
          <w:kern w:val="0"/>
          <w:lang w:eastAsia="pl-PL"/>
          <w14:ligatures w14:val="none"/>
        </w:rPr>
        <w:t>-</w:t>
      </w:r>
      <w:r w:rsidR="00A9705C">
        <w:rPr>
          <w:rFonts w:ascii="Calibri" w:eastAsia="Times New Roman" w:hAnsi="Calibri" w:cs="Calibri"/>
          <w:kern w:val="0"/>
          <w:lang w:eastAsia="pl-PL"/>
          <w14:ligatures w14:val="none"/>
        </w:rPr>
        <w:t xml:space="preserve"> </w:t>
      </w:r>
      <w:r w:rsidR="00A9705C" w:rsidRPr="00545409">
        <w:rPr>
          <w:rFonts w:ascii="Calibri" w:eastAsia="Times New Roman" w:hAnsi="Calibri" w:cs="Calibri"/>
          <w:b/>
          <w:bCs/>
          <w:kern w:val="0"/>
          <w:lang w:eastAsia="pl-PL"/>
          <w14:ligatures w14:val="none"/>
        </w:rPr>
        <w:t>zwrócono uwagę na aspekt finansowy prowadzonej działalności.</w:t>
      </w:r>
    </w:p>
    <w:p w14:paraId="7D52B03C" w14:textId="372FF717" w:rsidR="00FB6FD2" w:rsidRDefault="006419F3" w:rsidP="00FF61F0">
      <w:pPr>
        <w:spacing w:before="100" w:beforeAutospacing="1" w:after="100" w:afterAutospacing="1" w:line="240" w:lineRule="auto"/>
        <w:jc w:val="both"/>
        <w:rPr>
          <w:rFonts w:ascii="Calibri" w:eastAsia="Times New Roman" w:hAnsi="Calibri" w:cs="Calibri"/>
          <w:kern w:val="0"/>
          <w:lang w:eastAsia="pl-PL"/>
          <w14:ligatures w14:val="none"/>
        </w:rPr>
      </w:pPr>
      <w:r>
        <w:rPr>
          <w:rFonts w:ascii="Calibri" w:eastAsia="Times New Roman" w:hAnsi="Calibri" w:cs="Calibri"/>
          <w:kern w:val="0"/>
          <w:lang w:eastAsia="pl-PL"/>
          <w14:ligatures w14:val="none"/>
        </w:rPr>
        <w:t xml:space="preserve">W </w:t>
      </w:r>
      <w:r w:rsidR="00065DC7">
        <w:rPr>
          <w:rFonts w:ascii="Calibri" w:eastAsia="Times New Roman" w:hAnsi="Calibri" w:cs="Calibri"/>
          <w:kern w:val="0"/>
          <w:lang w:eastAsia="pl-PL"/>
          <w14:ligatures w14:val="none"/>
        </w:rPr>
        <w:t xml:space="preserve">I kw. </w:t>
      </w:r>
      <w:r>
        <w:rPr>
          <w:rFonts w:ascii="Calibri" w:eastAsia="Times New Roman" w:hAnsi="Calibri" w:cs="Calibri"/>
          <w:kern w:val="0"/>
          <w:lang w:eastAsia="pl-PL"/>
          <w14:ligatures w14:val="none"/>
        </w:rPr>
        <w:t xml:space="preserve">2025 </w:t>
      </w:r>
      <w:r w:rsidR="00065DC7">
        <w:rPr>
          <w:rFonts w:ascii="Calibri" w:eastAsia="Times New Roman" w:hAnsi="Calibri" w:cs="Calibri"/>
          <w:kern w:val="0"/>
          <w:lang w:eastAsia="pl-PL"/>
          <w14:ligatures w14:val="none"/>
        </w:rPr>
        <w:t>r. G</w:t>
      </w:r>
      <w:r w:rsidR="00B60191">
        <w:rPr>
          <w:rFonts w:ascii="Calibri" w:eastAsia="Times New Roman" w:hAnsi="Calibri" w:cs="Calibri"/>
          <w:kern w:val="0"/>
          <w:lang w:eastAsia="pl-PL"/>
          <w14:ligatures w14:val="none"/>
        </w:rPr>
        <w:t>rup</w:t>
      </w:r>
      <w:r w:rsidR="00065DC7">
        <w:rPr>
          <w:rFonts w:ascii="Calibri" w:eastAsia="Times New Roman" w:hAnsi="Calibri" w:cs="Calibri"/>
          <w:kern w:val="0"/>
          <w:lang w:eastAsia="pl-PL"/>
          <w14:ligatures w14:val="none"/>
        </w:rPr>
        <w:t>a</w:t>
      </w:r>
      <w:r w:rsidR="00B60191">
        <w:rPr>
          <w:rFonts w:ascii="Calibri" w:eastAsia="Times New Roman" w:hAnsi="Calibri" w:cs="Calibri"/>
          <w:kern w:val="0"/>
          <w:lang w:eastAsia="pl-PL"/>
          <w14:ligatures w14:val="none"/>
        </w:rPr>
        <w:t xml:space="preserve"> Kapitałow</w:t>
      </w:r>
      <w:r w:rsidR="00065DC7">
        <w:rPr>
          <w:rFonts w:ascii="Calibri" w:eastAsia="Times New Roman" w:hAnsi="Calibri" w:cs="Calibri"/>
          <w:kern w:val="0"/>
          <w:lang w:eastAsia="pl-PL"/>
          <w14:ligatures w14:val="none"/>
        </w:rPr>
        <w:t>a</w:t>
      </w:r>
      <w:r w:rsidR="00B60191">
        <w:rPr>
          <w:rFonts w:ascii="Calibri" w:eastAsia="Times New Roman" w:hAnsi="Calibri" w:cs="Calibri"/>
          <w:kern w:val="0"/>
          <w:lang w:eastAsia="pl-PL"/>
          <w14:ligatures w14:val="none"/>
        </w:rPr>
        <w:t xml:space="preserve"> </w:t>
      </w:r>
      <w:r w:rsidR="000119EA">
        <w:rPr>
          <w:rFonts w:ascii="Calibri" w:eastAsia="Times New Roman" w:hAnsi="Calibri" w:cs="Calibri"/>
          <w:kern w:val="0"/>
          <w:lang w:eastAsia="pl-PL"/>
          <w14:ligatures w14:val="none"/>
        </w:rPr>
        <w:t>Milisystem S.A. wygenerował</w:t>
      </w:r>
      <w:r w:rsidR="00EC32CC">
        <w:rPr>
          <w:rFonts w:ascii="Calibri" w:eastAsia="Times New Roman" w:hAnsi="Calibri" w:cs="Calibri"/>
          <w:kern w:val="0"/>
          <w:lang w:eastAsia="pl-PL"/>
          <w14:ligatures w14:val="none"/>
        </w:rPr>
        <w:t>y</w:t>
      </w:r>
      <w:r w:rsidR="00B60191">
        <w:rPr>
          <w:rFonts w:ascii="Calibri" w:eastAsia="Times New Roman" w:hAnsi="Calibri" w:cs="Calibri"/>
          <w:kern w:val="0"/>
          <w:lang w:eastAsia="pl-PL"/>
          <w14:ligatures w14:val="none"/>
        </w:rPr>
        <w:t xml:space="preserve"> skonsolidowane przychody netto ze sprzedaży </w:t>
      </w:r>
      <w:r w:rsidR="00B91FB2">
        <w:rPr>
          <w:rFonts w:ascii="Calibri" w:eastAsia="Times New Roman" w:hAnsi="Calibri" w:cs="Calibri"/>
          <w:kern w:val="0"/>
          <w:lang w:eastAsia="pl-PL"/>
          <w14:ligatures w14:val="none"/>
        </w:rPr>
        <w:t xml:space="preserve">w wysokości </w:t>
      </w:r>
      <w:r w:rsidR="00B60191" w:rsidRPr="00B60191">
        <w:rPr>
          <w:rFonts w:ascii="Calibri" w:eastAsia="Times New Roman" w:hAnsi="Calibri" w:cs="Calibri"/>
          <w:kern w:val="0"/>
          <w:lang w:eastAsia="pl-PL"/>
          <w14:ligatures w14:val="none"/>
        </w:rPr>
        <w:t>141</w:t>
      </w:r>
      <w:r w:rsidR="00B60191">
        <w:rPr>
          <w:rFonts w:ascii="Calibri" w:eastAsia="Times New Roman" w:hAnsi="Calibri" w:cs="Calibri"/>
          <w:kern w:val="0"/>
          <w:lang w:eastAsia="pl-PL"/>
          <w14:ligatures w14:val="none"/>
        </w:rPr>
        <w:t>.</w:t>
      </w:r>
      <w:r w:rsidR="00B60191" w:rsidRPr="00B60191">
        <w:rPr>
          <w:rFonts w:ascii="Calibri" w:eastAsia="Times New Roman" w:hAnsi="Calibri" w:cs="Calibri"/>
          <w:kern w:val="0"/>
          <w:lang w:eastAsia="pl-PL"/>
          <w14:ligatures w14:val="none"/>
        </w:rPr>
        <w:t>585,62</w:t>
      </w:r>
      <w:r w:rsidR="00B60191">
        <w:rPr>
          <w:rFonts w:ascii="Calibri" w:eastAsia="Times New Roman" w:hAnsi="Calibri" w:cs="Calibri"/>
          <w:kern w:val="0"/>
          <w:lang w:eastAsia="pl-PL"/>
          <w14:ligatures w14:val="none"/>
        </w:rPr>
        <w:t xml:space="preserve"> zł</w:t>
      </w:r>
      <w:r w:rsidR="00EC32CC">
        <w:rPr>
          <w:rFonts w:ascii="Calibri" w:eastAsia="Times New Roman" w:hAnsi="Calibri" w:cs="Calibri"/>
          <w:kern w:val="0"/>
          <w:lang w:eastAsia="pl-PL"/>
          <w14:ligatures w14:val="none"/>
        </w:rPr>
        <w:t xml:space="preserve"> oraz </w:t>
      </w:r>
      <w:r w:rsidR="00695833">
        <w:rPr>
          <w:rFonts w:ascii="Calibri" w:eastAsia="Times New Roman" w:hAnsi="Calibri" w:cs="Calibri"/>
          <w:kern w:val="0"/>
          <w:lang w:eastAsia="pl-PL"/>
          <w14:ligatures w14:val="none"/>
        </w:rPr>
        <w:t>stratę netto</w:t>
      </w:r>
      <w:r w:rsidR="00695833" w:rsidRPr="00695833">
        <w:t xml:space="preserve"> </w:t>
      </w:r>
      <w:r w:rsidR="00695833" w:rsidRPr="00695833">
        <w:rPr>
          <w:rFonts w:ascii="Calibri" w:eastAsia="Times New Roman" w:hAnsi="Calibri" w:cs="Calibri"/>
          <w:kern w:val="0"/>
          <w:lang w:eastAsia="pl-PL"/>
          <w14:ligatures w14:val="none"/>
        </w:rPr>
        <w:t>370</w:t>
      </w:r>
      <w:r w:rsidR="00695833">
        <w:rPr>
          <w:rFonts w:ascii="Calibri" w:eastAsia="Times New Roman" w:hAnsi="Calibri" w:cs="Calibri"/>
          <w:kern w:val="0"/>
          <w:lang w:eastAsia="pl-PL"/>
          <w14:ligatures w14:val="none"/>
        </w:rPr>
        <w:t>.</w:t>
      </w:r>
      <w:r w:rsidR="00695833" w:rsidRPr="00695833">
        <w:rPr>
          <w:rFonts w:ascii="Calibri" w:eastAsia="Times New Roman" w:hAnsi="Calibri" w:cs="Calibri"/>
          <w:kern w:val="0"/>
          <w:lang w:eastAsia="pl-PL"/>
          <w14:ligatures w14:val="none"/>
        </w:rPr>
        <w:t>141,61</w:t>
      </w:r>
      <w:r w:rsidR="00695833">
        <w:rPr>
          <w:rFonts w:ascii="Calibri" w:eastAsia="Times New Roman" w:hAnsi="Calibri" w:cs="Calibri"/>
          <w:kern w:val="0"/>
          <w:lang w:eastAsia="pl-PL"/>
          <w14:ligatures w14:val="none"/>
        </w:rPr>
        <w:t xml:space="preserve"> zł.</w:t>
      </w:r>
      <w:r w:rsidR="00300A5D">
        <w:rPr>
          <w:rFonts w:ascii="Calibri" w:eastAsia="Times New Roman" w:hAnsi="Calibri" w:cs="Calibri"/>
          <w:kern w:val="0"/>
          <w:lang w:eastAsia="pl-PL"/>
          <w14:ligatures w14:val="none"/>
        </w:rPr>
        <w:t xml:space="preserve"> Na</w:t>
      </w:r>
      <w:r w:rsidR="00B91FB2">
        <w:rPr>
          <w:rFonts w:ascii="Calibri" w:eastAsia="Times New Roman" w:hAnsi="Calibri" w:cs="Calibri"/>
          <w:kern w:val="0"/>
          <w:lang w:eastAsia="pl-PL"/>
          <w14:ligatures w14:val="none"/>
        </w:rPr>
        <w:t xml:space="preserve"> poziomie jednostkowym Milisystem S.A. było to odpowiednio </w:t>
      </w:r>
      <w:r w:rsidR="00B91FB2" w:rsidRPr="00B91FB2">
        <w:rPr>
          <w:rFonts w:ascii="Calibri" w:eastAsia="Times New Roman" w:hAnsi="Calibri" w:cs="Calibri"/>
          <w:kern w:val="0"/>
          <w:lang w:eastAsia="pl-PL"/>
          <w14:ligatures w14:val="none"/>
        </w:rPr>
        <w:t>3</w:t>
      </w:r>
      <w:r w:rsidR="00B91FB2">
        <w:rPr>
          <w:rFonts w:ascii="Calibri" w:eastAsia="Times New Roman" w:hAnsi="Calibri" w:cs="Calibri"/>
          <w:kern w:val="0"/>
          <w:lang w:eastAsia="pl-PL"/>
          <w14:ligatures w14:val="none"/>
        </w:rPr>
        <w:t>.</w:t>
      </w:r>
      <w:r w:rsidR="00B91FB2" w:rsidRPr="00B91FB2">
        <w:rPr>
          <w:rFonts w:ascii="Calibri" w:eastAsia="Times New Roman" w:hAnsi="Calibri" w:cs="Calibri"/>
          <w:kern w:val="0"/>
          <w:lang w:eastAsia="pl-PL"/>
          <w14:ligatures w14:val="none"/>
        </w:rPr>
        <w:t>414,63</w:t>
      </w:r>
      <w:r w:rsidR="00B91FB2">
        <w:rPr>
          <w:rFonts w:ascii="Calibri" w:eastAsia="Times New Roman" w:hAnsi="Calibri" w:cs="Calibri"/>
          <w:kern w:val="0"/>
          <w:lang w:eastAsia="pl-PL"/>
          <w14:ligatures w14:val="none"/>
        </w:rPr>
        <w:t xml:space="preserve"> zł oraz </w:t>
      </w:r>
      <w:r w:rsidR="008E38AB" w:rsidRPr="008E38AB">
        <w:rPr>
          <w:rFonts w:ascii="Calibri" w:eastAsia="Times New Roman" w:hAnsi="Calibri" w:cs="Calibri"/>
          <w:kern w:val="0"/>
          <w:lang w:eastAsia="pl-PL"/>
          <w14:ligatures w14:val="none"/>
        </w:rPr>
        <w:t>213</w:t>
      </w:r>
      <w:r w:rsidR="008E38AB">
        <w:rPr>
          <w:rFonts w:ascii="Calibri" w:eastAsia="Times New Roman" w:hAnsi="Calibri" w:cs="Calibri"/>
          <w:kern w:val="0"/>
          <w:lang w:eastAsia="pl-PL"/>
          <w14:ligatures w14:val="none"/>
        </w:rPr>
        <w:t>.</w:t>
      </w:r>
      <w:r w:rsidR="008E38AB" w:rsidRPr="008E38AB">
        <w:rPr>
          <w:rFonts w:ascii="Calibri" w:eastAsia="Times New Roman" w:hAnsi="Calibri" w:cs="Calibri"/>
          <w:kern w:val="0"/>
          <w:lang w:eastAsia="pl-PL"/>
          <w14:ligatures w14:val="none"/>
        </w:rPr>
        <w:t>488,72</w:t>
      </w:r>
      <w:r w:rsidR="008E38AB">
        <w:rPr>
          <w:rFonts w:ascii="Calibri" w:eastAsia="Times New Roman" w:hAnsi="Calibri" w:cs="Calibri"/>
          <w:kern w:val="0"/>
          <w:lang w:eastAsia="pl-PL"/>
          <w14:ligatures w14:val="none"/>
        </w:rPr>
        <w:t xml:space="preserve"> zł.</w:t>
      </w:r>
    </w:p>
    <w:p w14:paraId="73C05FF1" w14:textId="77777777" w:rsidR="007A5AD8" w:rsidRDefault="007A5AD8" w:rsidP="007A5AD8">
      <w:pPr>
        <w:spacing w:after="0" w:line="240" w:lineRule="auto"/>
        <w:jc w:val="center"/>
        <w:rPr>
          <w:rFonts w:ascii="Calibri" w:eastAsia="Times New Roman" w:hAnsi="Calibri" w:cs="Calibri"/>
          <w:kern w:val="0"/>
          <w:lang w:eastAsia="pl-PL"/>
          <w14:ligatures w14:val="none"/>
        </w:rPr>
      </w:pPr>
      <w:r w:rsidRPr="00E54CA2">
        <w:rPr>
          <w:rFonts w:ascii="Calibri" w:eastAsia="Times New Roman" w:hAnsi="Calibri" w:cs="Calibri"/>
          <w:kern w:val="0"/>
          <w:lang w:eastAsia="pl-PL"/>
          <w14:ligatures w14:val="none"/>
        </w:rPr>
        <w:t>***</w:t>
      </w:r>
    </w:p>
    <w:p w14:paraId="10D33C32" w14:textId="63A9A474" w:rsidR="00E72B29" w:rsidRPr="00E54CA2" w:rsidRDefault="00E72B29" w:rsidP="00E72B29">
      <w:pPr>
        <w:spacing w:after="0" w:line="240" w:lineRule="auto"/>
        <w:jc w:val="both"/>
        <w:rPr>
          <w:rFonts w:ascii="Calibri" w:eastAsia="Times New Roman" w:hAnsi="Calibri" w:cs="Calibri"/>
          <w:kern w:val="0"/>
          <w:lang w:eastAsia="pl-PL"/>
          <w14:ligatures w14:val="none"/>
        </w:rPr>
      </w:pPr>
      <w:r w:rsidRPr="00E72B29">
        <w:rPr>
          <w:rFonts w:ascii="Calibri" w:eastAsia="Times New Roman" w:hAnsi="Calibri" w:cs="Calibri"/>
          <w:b/>
          <w:bCs/>
          <w:kern w:val="0"/>
          <w:lang w:eastAsia="pl-PL"/>
          <w14:ligatures w14:val="none"/>
        </w:rPr>
        <w:t>Milisystem S.A. to spółka notowana na rynku alternatywnym NewConnect, prowadzonym przez Giełdę Papierów Wartościowych w Warszawie S.A. (ticker: MLM).</w:t>
      </w:r>
    </w:p>
    <w:p w14:paraId="362D966A" w14:textId="77777777" w:rsidR="007A5AD8" w:rsidRPr="00E54CA2" w:rsidRDefault="007A5AD8" w:rsidP="007A5AD8">
      <w:pPr>
        <w:spacing w:before="100" w:beforeAutospacing="1" w:after="100" w:afterAutospacing="1" w:line="240" w:lineRule="auto"/>
        <w:jc w:val="both"/>
        <w:rPr>
          <w:rFonts w:ascii="Calibri" w:eastAsia="Times New Roman" w:hAnsi="Calibri" w:cs="Calibri"/>
          <w:kern w:val="0"/>
          <w:lang w:eastAsia="pl-PL"/>
          <w14:ligatures w14:val="none"/>
        </w:rPr>
      </w:pPr>
      <w:r w:rsidRPr="00E54CA2">
        <w:rPr>
          <w:rFonts w:ascii="Calibri" w:eastAsia="Times New Roman" w:hAnsi="Calibri" w:cs="Calibri"/>
          <w:kern w:val="0"/>
          <w:lang w:eastAsia="pl-PL"/>
          <w14:ligatures w14:val="none"/>
        </w:rPr>
        <w:t>Spółki grupy Milisystem (Milisystem S.A., Milisystem sp. z o.o.) są firmami technologicznymi zajmującymi się produkcją oraz dystrybucją zaawansowanych rozwiązań symulatorów strzeleckich, na potrzeby rynku cywilnego, jak i militarnego, nie wymagających koncesji czy pozwoleń MSWiA.</w:t>
      </w:r>
    </w:p>
    <w:p w14:paraId="0DF03B40" w14:textId="77777777" w:rsidR="007A5AD8" w:rsidRPr="00E54CA2" w:rsidRDefault="007A5AD8" w:rsidP="007A5AD8">
      <w:pPr>
        <w:spacing w:before="100" w:beforeAutospacing="1" w:after="100" w:afterAutospacing="1" w:line="240" w:lineRule="auto"/>
        <w:jc w:val="both"/>
        <w:rPr>
          <w:rFonts w:ascii="Calibri" w:eastAsia="Times New Roman" w:hAnsi="Calibri" w:cs="Calibri"/>
          <w:kern w:val="0"/>
          <w:lang w:eastAsia="pl-PL"/>
          <w14:ligatures w14:val="none"/>
        </w:rPr>
      </w:pPr>
      <w:r w:rsidRPr="00E54CA2">
        <w:rPr>
          <w:rFonts w:ascii="Calibri" w:eastAsia="Times New Roman" w:hAnsi="Calibri" w:cs="Calibri"/>
          <w:kern w:val="0"/>
          <w:lang w:eastAsia="pl-PL"/>
          <w14:ligatures w14:val="none"/>
        </w:rPr>
        <w:t>Milisystem S.A. dysponuje szeroką gamą rozwiązań technologicznych z obszaru trenażerów strzeleckich. W ofercie znajdują się trenażery oparte na technologii laserowej z rodziny Wisła (Wisła SP oraz Wisła SN), jak również te oparte na technologii wirtualnej (gogle VR). Dzięki zaawansowanej technologii użytkownicy mogą doskonalić swoje umiejętności strzeleckie bez konieczności używania ostrej amunicji, co przekłada się na większe bezpieczeństwo i obniżenie kosztów treningu.</w:t>
      </w:r>
    </w:p>
    <w:p w14:paraId="541DB873" w14:textId="77777777" w:rsidR="007A5AD8" w:rsidRPr="00E54CA2" w:rsidRDefault="007A5AD8" w:rsidP="007A5AD8">
      <w:pPr>
        <w:jc w:val="both"/>
        <w:rPr>
          <w:rFonts w:ascii="Calibri" w:hAnsi="Calibri" w:cs="Calibri"/>
          <w:u w:val="single"/>
        </w:rPr>
      </w:pPr>
      <w:r w:rsidRPr="00E54CA2">
        <w:rPr>
          <w:rFonts w:ascii="Calibri" w:hAnsi="Calibri" w:cs="Calibri"/>
          <w:u w:val="single"/>
        </w:rPr>
        <w:t>Kontakt dla mediów:</w:t>
      </w:r>
    </w:p>
    <w:p w14:paraId="28EBF9C6" w14:textId="37CC28C2" w:rsidR="00E54CA2" w:rsidRDefault="007F5BA5" w:rsidP="00E54CA2">
      <w:pPr>
        <w:spacing w:after="0"/>
        <w:rPr>
          <w:rFonts w:ascii="Calibri" w:hAnsi="Calibri" w:cs="Calibri"/>
        </w:rPr>
      </w:pPr>
      <w:r>
        <w:rPr>
          <w:rFonts w:ascii="Calibri" w:hAnsi="Calibri" w:cs="Calibri"/>
        </w:rPr>
        <w:t>Jacek Grobel</w:t>
      </w:r>
    </w:p>
    <w:p w14:paraId="7FD9FA17" w14:textId="1044F413" w:rsidR="00E54CA2" w:rsidRPr="008647AF" w:rsidRDefault="007F5BA5" w:rsidP="00E54CA2">
      <w:pPr>
        <w:spacing w:after="0"/>
        <w:rPr>
          <w:rFonts w:ascii="Calibri" w:hAnsi="Calibri" w:cs="Calibri"/>
        </w:rPr>
      </w:pPr>
      <w:r>
        <w:rPr>
          <w:rFonts w:ascii="Calibri" w:hAnsi="Calibri" w:cs="Calibri"/>
        </w:rPr>
        <w:t>RelacjeRynku.pl Agencja Relacji Inwestorskich</w:t>
      </w:r>
    </w:p>
    <w:p w14:paraId="685C4A66" w14:textId="43523996" w:rsidR="00E54CA2" w:rsidRPr="0048228D" w:rsidRDefault="007F5BA5" w:rsidP="00E54CA2">
      <w:pPr>
        <w:spacing w:after="0"/>
        <w:rPr>
          <w:rFonts w:ascii="Calibri" w:hAnsi="Calibri" w:cs="Calibri"/>
          <w:lang w:val="en-US"/>
        </w:rPr>
      </w:pPr>
      <w:hyperlink r:id="rId6" w:history="1">
        <w:r w:rsidRPr="0048228D">
          <w:rPr>
            <w:rStyle w:val="Hipercze"/>
            <w:rFonts w:ascii="Calibri" w:hAnsi="Calibri" w:cs="Calibri"/>
            <w:lang w:val="en-US"/>
          </w:rPr>
          <w:t>www.relacjerynku.pl</w:t>
        </w:r>
      </w:hyperlink>
    </w:p>
    <w:p w14:paraId="379F299C" w14:textId="774B9AE5" w:rsidR="00E54CA2" w:rsidRPr="00E54CA2" w:rsidRDefault="00E54CA2" w:rsidP="00E54CA2">
      <w:pPr>
        <w:spacing w:after="0"/>
        <w:rPr>
          <w:rFonts w:ascii="Calibri" w:hAnsi="Calibri" w:cs="Calibri"/>
          <w:lang w:val="en-GB"/>
        </w:rPr>
      </w:pPr>
      <w:r w:rsidRPr="00E54CA2">
        <w:rPr>
          <w:rFonts w:ascii="Calibri" w:hAnsi="Calibri" w:cs="Calibri"/>
          <w:lang w:val="en-GB"/>
        </w:rPr>
        <w:t xml:space="preserve">tel.: (+48) </w:t>
      </w:r>
      <w:r w:rsidR="007F5BA5">
        <w:rPr>
          <w:rFonts w:ascii="Calibri" w:hAnsi="Calibri" w:cs="Calibri"/>
          <w:lang w:val="en-GB"/>
        </w:rPr>
        <w:t>662 246 465</w:t>
      </w:r>
    </w:p>
    <w:p w14:paraId="6F756865" w14:textId="4F5863F2" w:rsidR="007A5AD8" w:rsidRPr="00E54CA2" w:rsidRDefault="00E54CA2" w:rsidP="00E54CA2">
      <w:pPr>
        <w:spacing w:after="0"/>
        <w:rPr>
          <w:rFonts w:ascii="Calibri" w:hAnsi="Calibri" w:cs="Calibri"/>
          <w:lang w:val="en-GB"/>
        </w:rPr>
      </w:pPr>
      <w:r w:rsidRPr="00E54CA2">
        <w:rPr>
          <w:rFonts w:ascii="Calibri" w:hAnsi="Calibri" w:cs="Calibri"/>
          <w:lang w:val="en-GB"/>
        </w:rPr>
        <w:t xml:space="preserve">e-mail: </w:t>
      </w:r>
      <w:hyperlink r:id="rId7" w:history="1">
        <w:r w:rsidR="007F5BA5" w:rsidRPr="00EA21CB">
          <w:rPr>
            <w:rStyle w:val="Hipercze"/>
            <w:rFonts w:ascii="Calibri" w:hAnsi="Calibri" w:cs="Calibri"/>
            <w:lang w:val="en-GB"/>
          </w:rPr>
          <w:t>biuro@relacjerynku.pl</w:t>
        </w:r>
      </w:hyperlink>
      <w:r w:rsidR="007F5BA5">
        <w:rPr>
          <w:rFonts w:ascii="Calibri" w:hAnsi="Calibri" w:cs="Calibri"/>
          <w:lang w:val="en-GB"/>
        </w:rPr>
        <w:t xml:space="preserve"> </w:t>
      </w:r>
      <w:r w:rsidRPr="00E54CA2">
        <w:rPr>
          <w:rFonts w:ascii="Calibri" w:hAnsi="Calibri" w:cs="Calibri"/>
          <w:lang w:val="en-GB"/>
        </w:rPr>
        <w:t xml:space="preserve"> </w:t>
      </w:r>
    </w:p>
    <w:sectPr w:rsidR="007A5AD8" w:rsidRPr="00E54CA2" w:rsidSect="000432DE">
      <w:headerReference w:type="even" r:id="rId8"/>
      <w:headerReference w:type="default" r:id="rId9"/>
      <w:footerReference w:type="default" r:id="rId10"/>
      <w:headerReference w:type="first" r:id="rId11"/>
      <w:pgSz w:w="11906" w:h="16838"/>
      <w:pgMar w:top="1417" w:right="1417" w:bottom="1417" w:left="1417" w:header="1247" w:footer="10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453723" w14:textId="77777777" w:rsidR="002B68CD" w:rsidRDefault="002B68CD" w:rsidP="00666936">
      <w:pPr>
        <w:spacing w:after="0" w:line="240" w:lineRule="auto"/>
      </w:pPr>
      <w:r>
        <w:separator/>
      </w:r>
    </w:p>
  </w:endnote>
  <w:endnote w:type="continuationSeparator" w:id="0">
    <w:p w14:paraId="4C91CA4A" w14:textId="77777777" w:rsidR="002B68CD" w:rsidRDefault="002B68CD" w:rsidP="006669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inion Pro">
    <w:altName w:val="Cambria"/>
    <w:panose1 w:val="00000000000000000000"/>
    <w:charset w:val="00"/>
    <w:family w:val="roman"/>
    <w:notTrueType/>
    <w:pitch w:val="variable"/>
    <w:sig w:usb0="60000287" w:usb1="00000001" w:usb2="00000000" w:usb3="00000000" w:csb0="0000019F" w:csb1="00000000"/>
  </w:font>
  <w:font w:name="Calibri">
    <w:panose1 w:val="020F0502020204030204"/>
    <w:charset w:val="EE"/>
    <w:family w:val="swiss"/>
    <w:pitch w:val="variable"/>
    <w:sig w:usb0="E4002EFF" w:usb1="C200247B" w:usb2="00000009" w:usb3="00000000" w:csb0="000001FF" w:csb1="00000000"/>
  </w:font>
  <w:font w:name="Poppins">
    <w:altName w:val="Times New Roman"/>
    <w:charset w:val="EE"/>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894E3" w14:textId="4007F692" w:rsidR="00666936" w:rsidRPr="00666936" w:rsidRDefault="000432DE">
    <w:pPr>
      <w:pStyle w:val="Stopka"/>
      <w:rPr>
        <w:rFonts w:ascii="Poppins" w:hAnsi="Poppins" w:cs="Poppins"/>
        <w:b/>
        <w:bCs/>
      </w:rPr>
    </w:pPr>
    <w:r w:rsidRPr="000432DE">
      <w:rPr>
        <w:rFonts w:ascii="Poppins" w:hAnsi="Poppins" w:cs="Poppins"/>
        <w:b/>
        <w:bCs/>
        <w:noProof/>
        <w:lang w:eastAsia="pl-PL"/>
      </w:rPr>
      <mc:AlternateContent>
        <mc:Choice Requires="wps">
          <w:drawing>
            <wp:anchor distT="45720" distB="45720" distL="114300" distR="114300" simplePos="0" relativeHeight="251676672" behindDoc="0" locked="0" layoutInCell="1" allowOverlap="1" wp14:anchorId="5795B8EB" wp14:editId="1B7778CD">
              <wp:simplePos x="0" y="0"/>
              <wp:positionH relativeFrom="column">
                <wp:posOffset>-417830</wp:posOffset>
              </wp:positionH>
              <wp:positionV relativeFrom="paragraph">
                <wp:posOffset>-13970</wp:posOffset>
              </wp:positionV>
              <wp:extent cx="2360930" cy="1404620"/>
              <wp:effectExtent l="0" t="0" r="635" b="6350"/>
              <wp:wrapSquare wrapText="bothSides"/>
              <wp:docPr id="21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3F69152B" w14:textId="6A131FB8" w:rsidR="000432DE" w:rsidRPr="007A5AD8" w:rsidRDefault="000432DE" w:rsidP="000432DE">
                          <w:pPr>
                            <w:rPr>
                              <w:sz w:val="16"/>
                              <w:szCs w:val="16"/>
                              <w:lang w:val="en-GB"/>
                            </w:rPr>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5795B8EB" id="_x0000_t202" coordsize="21600,21600" o:spt="202" path="m,l,21600r21600,l21600,xe">
              <v:stroke joinstyle="miter"/>
              <v:path gradientshapeok="t" o:connecttype="rect"/>
            </v:shapetype>
            <v:shape id="Pole tekstowe 2" o:spid="_x0000_s1026" type="#_x0000_t202" style="position:absolute;margin-left:-32.9pt;margin-top:-1.1pt;width:185.9pt;height:110.6pt;z-index:25167667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" stroked="f">
              <v:textbox style="mso-fit-shape-to-text:t">
                <w:txbxContent>
                  <w:p w14:paraId="3F69152B" w14:textId="6A131FB8" w:rsidR="000432DE" w:rsidRPr="007A5AD8" w:rsidRDefault="000432DE" w:rsidP="000432DE">
                    <w:pPr>
                      <w:rPr>
                        <w:sz w:val="16"/>
                        <w:szCs w:val="16"/>
                        <w:lang w:val="en-GB"/>
                      </w:rPr>
                    </w:pPr>
                  </w:p>
                </w:txbxContent>
              </v:textbox>
              <w10:wrap type="square"/>
            </v:shape>
          </w:pict>
        </mc:Fallback>
      </mc:AlternateContent>
    </w:r>
    <w:r w:rsidRPr="000432DE">
      <w:rPr>
        <w:rFonts w:ascii="Poppins" w:hAnsi="Poppins" w:cs="Poppins"/>
        <w:b/>
        <w:bCs/>
        <w:noProof/>
        <w:lang w:eastAsia="pl-PL"/>
      </w:rPr>
      <mc:AlternateContent>
        <mc:Choice Requires="wps">
          <w:drawing>
            <wp:anchor distT="45720" distB="45720" distL="114300" distR="114300" simplePos="0" relativeHeight="251678720" behindDoc="0" locked="0" layoutInCell="1" allowOverlap="1" wp14:anchorId="750A70F1" wp14:editId="2D5E733B">
              <wp:simplePos x="0" y="0"/>
              <wp:positionH relativeFrom="column">
                <wp:posOffset>4034155</wp:posOffset>
              </wp:positionH>
              <wp:positionV relativeFrom="paragraph">
                <wp:posOffset>7620</wp:posOffset>
              </wp:positionV>
              <wp:extent cx="2360930" cy="1404620"/>
              <wp:effectExtent l="0" t="0" r="635" b="6350"/>
              <wp:wrapSquare wrapText="bothSides"/>
              <wp:docPr id="638478436"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363394E9" w14:textId="0BC68FCF" w:rsidR="000432DE" w:rsidRPr="007A5AD8" w:rsidRDefault="000432DE" w:rsidP="000432DE">
                          <w:pPr>
                            <w:rPr>
                              <w:sz w:val="16"/>
                              <w:szCs w:val="16"/>
                              <w:lang w:val="en-GB"/>
                            </w:rPr>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750A70F1" id="_x0000_s1027" type="#_x0000_t202" style="position:absolute;margin-left:317.65pt;margin-top:.6pt;width:185.9pt;height:110.6pt;z-index:25167872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" stroked="f">
              <v:textbox style="mso-fit-shape-to-text:t">
                <w:txbxContent>
                  <w:p w14:paraId="363394E9" w14:textId="0BC68FCF" w:rsidR="000432DE" w:rsidRPr="007A5AD8" w:rsidRDefault="000432DE" w:rsidP="000432DE">
                    <w:pPr>
                      <w:rPr>
                        <w:sz w:val="16"/>
                        <w:szCs w:val="16"/>
                        <w:lang w:val="en-GB"/>
                      </w:rPr>
                    </w:pPr>
                  </w:p>
                </w:txbxContent>
              </v:textbox>
              <w10:wrap type="square"/>
            </v:shape>
          </w:pict>
        </mc:Fallback>
      </mc:AlternateContent>
    </w:r>
    <w:r w:rsidR="00666936">
      <w:rPr>
        <w:noProof/>
        <w:lang w:eastAsia="pl-PL"/>
      </w:rPr>
      <w:drawing>
        <wp:anchor distT="0" distB="0" distL="114300" distR="114300" simplePos="0" relativeHeight="251662336" behindDoc="1" locked="0" layoutInCell="1" allowOverlap="1" wp14:anchorId="1015EEB0" wp14:editId="1DC23B49">
          <wp:simplePos x="0" y="0"/>
          <wp:positionH relativeFrom="column">
            <wp:posOffset>-436245</wp:posOffset>
          </wp:positionH>
          <wp:positionV relativeFrom="paragraph">
            <wp:posOffset>-883285</wp:posOffset>
          </wp:positionV>
          <wp:extent cx="688975" cy="688975"/>
          <wp:effectExtent l="0" t="0" r="0" b="0"/>
          <wp:wrapNone/>
          <wp:docPr id="123976268" name="Graf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76268"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688975" cy="688975"/>
                  </a:xfrm>
                  <a:prstGeom prst="rect">
                    <a:avLst/>
                  </a:prstGeom>
                </pic:spPr>
              </pic:pic>
            </a:graphicData>
          </a:graphic>
          <wp14:sizeRelH relativeFrom="margin">
            <wp14:pctWidth>0</wp14:pctWidth>
          </wp14:sizeRelH>
          <wp14:sizeRelV relativeFrom="margin">
            <wp14:pctHeight>0</wp14:pctHeight>
          </wp14:sizeRelV>
        </wp:anchor>
      </w:drawing>
    </w:r>
    <w:r w:rsidR="00666936">
      <w:rPr>
        <w:noProof/>
        <w:lang w:eastAsia="pl-PL"/>
      </w:rPr>
      <w:drawing>
        <wp:anchor distT="0" distB="0" distL="114300" distR="114300" simplePos="0" relativeHeight="251664384" behindDoc="1" locked="0" layoutInCell="1" allowOverlap="1" wp14:anchorId="18A737A8" wp14:editId="2807A6CB">
          <wp:simplePos x="0" y="0"/>
          <wp:positionH relativeFrom="column">
            <wp:posOffset>313055</wp:posOffset>
          </wp:positionH>
          <wp:positionV relativeFrom="paragraph">
            <wp:posOffset>-876935</wp:posOffset>
          </wp:positionV>
          <wp:extent cx="688975" cy="688975"/>
          <wp:effectExtent l="0" t="0" r="0" b="0"/>
          <wp:wrapNone/>
          <wp:docPr id="1853325659" name="Graf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76268"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688975" cy="688975"/>
                  </a:xfrm>
                  <a:prstGeom prst="rect">
                    <a:avLst/>
                  </a:prstGeom>
                </pic:spPr>
              </pic:pic>
            </a:graphicData>
          </a:graphic>
          <wp14:sizeRelH relativeFrom="margin">
            <wp14:pctWidth>0</wp14:pctWidth>
          </wp14:sizeRelH>
          <wp14:sizeRelV relativeFrom="margin">
            <wp14:pctHeight>0</wp14:pctHeight>
          </wp14:sizeRelV>
        </wp:anchor>
      </w:drawing>
    </w:r>
    <w:r w:rsidR="00666936">
      <w:rPr>
        <w:noProof/>
        <w:lang w:eastAsia="pl-PL"/>
      </w:rPr>
      <w:drawing>
        <wp:anchor distT="0" distB="0" distL="114300" distR="114300" simplePos="0" relativeHeight="251667456" behindDoc="1" locked="0" layoutInCell="1" allowOverlap="1" wp14:anchorId="5A0E00ED" wp14:editId="1343B872">
          <wp:simplePos x="0" y="0"/>
          <wp:positionH relativeFrom="column">
            <wp:posOffset>1816100</wp:posOffset>
          </wp:positionH>
          <wp:positionV relativeFrom="paragraph">
            <wp:posOffset>-876300</wp:posOffset>
          </wp:positionV>
          <wp:extent cx="688975" cy="688975"/>
          <wp:effectExtent l="0" t="0" r="0" b="0"/>
          <wp:wrapNone/>
          <wp:docPr id="2009549351" name="Graf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76268"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688975" cy="688975"/>
                  </a:xfrm>
                  <a:prstGeom prst="rect">
                    <a:avLst/>
                  </a:prstGeom>
                </pic:spPr>
              </pic:pic>
            </a:graphicData>
          </a:graphic>
          <wp14:sizeRelH relativeFrom="margin">
            <wp14:pctWidth>0</wp14:pctWidth>
          </wp14:sizeRelH>
          <wp14:sizeRelV relativeFrom="margin">
            <wp14:pctHeight>0</wp14:pctHeight>
          </wp14:sizeRelV>
        </wp:anchor>
      </w:drawing>
    </w:r>
    <w:r w:rsidR="00666936">
      <w:rPr>
        <w:noProof/>
        <w:lang w:eastAsia="pl-PL"/>
      </w:rPr>
      <w:drawing>
        <wp:anchor distT="0" distB="0" distL="114300" distR="114300" simplePos="0" relativeHeight="251666432" behindDoc="1" locked="0" layoutInCell="1" allowOverlap="1" wp14:anchorId="3D837C49" wp14:editId="080A6EA7">
          <wp:simplePos x="0" y="0"/>
          <wp:positionH relativeFrom="column">
            <wp:posOffset>1066800</wp:posOffset>
          </wp:positionH>
          <wp:positionV relativeFrom="paragraph">
            <wp:posOffset>-882650</wp:posOffset>
          </wp:positionV>
          <wp:extent cx="688975" cy="688975"/>
          <wp:effectExtent l="0" t="0" r="0" b="0"/>
          <wp:wrapNone/>
          <wp:docPr id="874433088" name="Graf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76268"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688975" cy="688975"/>
                  </a:xfrm>
                  <a:prstGeom prst="rect">
                    <a:avLst/>
                  </a:prstGeom>
                </pic:spPr>
              </pic:pic>
            </a:graphicData>
          </a:graphic>
          <wp14:sizeRelH relativeFrom="margin">
            <wp14:pctWidth>0</wp14:pctWidth>
          </wp14:sizeRelH>
          <wp14:sizeRelV relativeFrom="margin">
            <wp14:pctHeight>0</wp14:pctHeight>
          </wp14:sizeRelV>
        </wp:anchor>
      </w:drawing>
    </w:r>
    <w:r w:rsidR="00666936">
      <w:rPr>
        <w:noProof/>
        <w:lang w:eastAsia="pl-PL"/>
      </w:rPr>
      <w:drawing>
        <wp:anchor distT="0" distB="0" distL="114300" distR="114300" simplePos="0" relativeHeight="251672576" behindDoc="1" locked="0" layoutInCell="1" allowOverlap="1" wp14:anchorId="55862A96" wp14:editId="0E55AE3F">
          <wp:simplePos x="0" y="0"/>
          <wp:positionH relativeFrom="column">
            <wp:posOffset>4824095</wp:posOffset>
          </wp:positionH>
          <wp:positionV relativeFrom="paragraph">
            <wp:posOffset>-882015</wp:posOffset>
          </wp:positionV>
          <wp:extent cx="688975" cy="688975"/>
          <wp:effectExtent l="0" t="0" r="0" b="0"/>
          <wp:wrapNone/>
          <wp:docPr id="1386420576" name="Graf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76268"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688975" cy="688975"/>
                  </a:xfrm>
                  <a:prstGeom prst="rect">
                    <a:avLst/>
                  </a:prstGeom>
                </pic:spPr>
              </pic:pic>
            </a:graphicData>
          </a:graphic>
          <wp14:sizeRelH relativeFrom="margin">
            <wp14:pctWidth>0</wp14:pctWidth>
          </wp14:sizeRelH>
          <wp14:sizeRelV relativeFrom="margin">
            <wp14:pctHeight>0</wp14:pctHeight>
          </wp14:sizeRelV>
        </wp:anchor>
      </w:drawing>
    </w:r>
    <w:r w:rsidR="00666936">
      <w:rPr>
        <w:noProof/>
        <w:lang w:eastAsia="pl-PL"/>
      </w:rPr>
      <w:drawing>
        <wp:anchor distT="0" distB="0" distL="114300" distR="114300" simplePos="0" relativeHeight="251671552" behindDoc="1" locked="0" layoutInCell="1" allowOverlap="1" wp14:anchorId="0DE054ED" wp14:editId="1A642114">
          <wp:simplePos x="0" y="0"/>
          <wp:positionH relativeFrom="column">
            <wp:posOffset>4074795</wp:posOffset>
          </wp:positionH>
          <wp:positionV relativeFrom="paragraph">
            <wp:posOffset>-888365</wp:posOffset>
          </wp:positionV>
          <wp:extent cx="688975" cy="688975"/>
          <wp:effectExtent l="0" t="0" r="0" b="0"/>
          <wp:wrapNone/>
          <wp:docPr id="2074326398" name="Graf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76268"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688975" cy="688975"/>
                  </a:xfrm>
                  <a:prstGeom prst="rect">
                    <a:avLst/>
                  </a:prstGeom>
                </pic:spPr>
              </pic:pic>
            </a:graphicData>
          </a:graphic>
          <wp14:sizeRelH relativeFrom="margin">
            <wp14:pctWidth>0</wp14:pctWidth>
          </wp14:sizeRelH>
          <wp14:sizeRelV relativeFrom="margin">
            <wp14:pctHeight>0</wp14:pctHeight>
          </wp14:sizeRelV>
        </wp:anchor>
      </w:drawing>
    </w:r>
    <w:r w:rsidR="00666936">
      <w:rPr>
        <w:noProof/>
        <w:lang w:eastAsia="pl-PL"/>
      </w:rPr>
      <w:drawing>
        <wp:anchor distT="0" distB="0" distL="114300" distR="114300" simplePos="0" relativeHeight="251670528" behindDoc="1" locked="0" layoutInCell="1" allowOverlap="1" wp14:anchorId="50D952FA" wp14:editId="0056BB82">
          <wp:simplePos x="0" y="0"/>
          <wp:positionH relativeFrom="column">
            <wp:posOffset>3321050</wp:posOffset>
          </wp:positionH>
          <wp:positionV relativeFrom="paragraph">
            <wp:posOffset>-882650</wp:posOffset>
          </wp:positionV>
          <wp:extent cx="688975" cy="688975"/>
          <wp:effectExtent l="0" t="0" r="0" b="0"/>
          <wp:wrapNone/>
          <wp:docPr id="1252534730" name="Graf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76268"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688975" cy="688975"/>
                  </a:xfrm>
                  <a:prstGeom prst="rect">
                    <a:avLst/>
                  </a:prstGeom>
                </pic:spPr>
              </pic:pic>
            </a:graphicData>
          </a:graphic>
          <wp14:sizeRelH relativeFrom="margin">
            <wp14:pctWidth>0</wp14:pctWidth>
          </wp14:sizeRelH>
          <wp14:sizeRelV relativeFrom="margin">
            <wp14:pctHeight>0</wp14:pctHeight>
          </wp14:sizeRelV>
        </wp:anchor>
      </w:drawing>
    </w:r>
    <w:r w:rsidR="00666936">
      <w:rPr>
        <w:noProof/>
        <w:lang w:eastAsia="pl-PL"/>
      </w:rPr>
      <w:drawing>
        <wp:anchor distT="0" distB="0" distL="114300" distR="114300" simplePos="0" relativeHeight="251669504" behindDoc="1" locked="0" layoutInCell="1" allowOverlap="1" wp14:anchorId="182FF767" wp14:editId="5329A974">
          <wp:simplePos x="0" y="0"/>
          <wp:positionH relativeFrom="column">
            <wp:posOffset>2571750</wp:posOffset>
          </wp:positionH>
          <wp:positionV relativeFrom="paragraph">
            <wp:posOffset>-889000</wp:posOffset>
          </wp:positionV>
          <wp:extent cx="688975" cy="688975"/>
          <wp:effectExtent l="0" t="0" r="0" b="0"/>
          <wp:wrapNone/>
          <wp:docPr id="1278738458" name="Graf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76268"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688975" cy="688975"/>
                  </a:xfrm>
                  <a:prstGeom prst="rect">
                    <a:avLst/>
                  </a:prstGeom>
                </pic:spPr>
              </pic:pic>
            </a:graphicData>
          </a:graphic>
          <wp14:sizeRelH relativeFrom="margin">
            <wp14:pctWidth>0</wp14:pctWidth>
          </wp14:sizeRelH>
          <wp14:sizeRelV relativeFrom="margin">
            <wp14:pctHeight>0</wp14:pctHeight>
          </wp14:sizeRelV>
        </wp:anchor>
      </w:drawing>
    </w:r>
    <w:r w:rsidR="00666936">
      <w:rPr>
        <w:noProof/>
        <w:lang w:eastAsia="pl-PL"/>
      </w:rPr>
      <w:drawing>
        <wp:anchor distT="0" distB="0" distL="114300" distR="114300" simplePos="0" relativeHeight="251674624" behindDoc="1" locked="0" layoutInCell="1" allowOverlap="1" wp14:anchorId="318825B0" wp14:editId="0BA4FA79">
          <wp:simplePos x="0" y="0"/>
          <wp:positionH relativeFrom="column">
            <wp:posOffset>5564505</wp:posOffset>
          </wp:positionH>
          <wp:positionV relativeFrom="paragraph">
            <wp:posOffset>-889635</wp:posOffset>
          </wp:positionV>
          <wp:extent cx="688975" cy="688975"/>
          <wp:effectExtent l="0" t="0" r="0" b="0"/>
          <wp:wrapNone/>
          <wp:docPr id="89560894" name="Graf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76268"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688975" cy="68897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B1053C" w14:textId="77777777" w:rsidR="002B68CD" w:rsidRDefault="002B68CD" w:rsidP="00666936">
      <w:pPr>
        <w:spacing w:after="0" w:line="240" w:lineRule="auto"/>
      </w:pPr>
      <w:r>
        <w:separator/>
      </w:r>
    </w:p>
  </w:footnote>
  <w:footnote w:type="continuationSeparator" w:id="0">
    <w:p w14:paraId="40E84D27" w14:textId="77777777" w:rsidR="002B68CD" w:rsidRDefault="002B68CD" w:rsidP="006669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C9A6A" w14:textId="4F895789" w:rsidR="00666936" w:rsidRDefault="00E72B29">
    <w:pPr>
      <w:pStyle w:val="Nagwek"/>
    </w:pPr>
    <w:r>
      <w:rPr>
        <w:noProof/>
      </w:rPr>
      <w:pict w14:anchorId="62EFF8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7996579" o:spid="_x0000_s2050" type="#_x0000_t75" style="position:absolute;margin-left:0;margin-top:0;width:453.25pt;height:453.25pt;z-index:-251657216;mso-position-horizontal:center;mso-position-horizontal-relative:margin;mso-position-vertical:center;mso-position-vertical-relative:margin" o:allowincell="f">
          <v:imagedata r:id="rId1" o:title="sygnet_milisystem_black"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797D1" w14:textId="667791AE" w:rsidR="00666936" w:rsidRDefault="00666936">
    <w:pPr>
      <w:pStyle w:val="Nagwek"/>
    </w:pPr>
    <w:r>
      <w:rPr>
        <w:noProof/>
        <w:lang w:eastAsia="pl-PL"/>
      </w:rPr>
      <w:drawing>
        <wp:anchor distT="0" distB="0" distL="114300" distR="114300" simplePos="0" relativeHeight="251661312" behindDoc="1" locked="0" layoutInCell="1" allowOverlap="1" wp14:anchorId="5C823431" wp14:editId="49AC8118">
          <wp:simplePos x="0" y="0"/>
          <wp:positionH relativeFrom="margin">
            <wp:posOffset>-544195</wp:posOffset>
          </wp:positionH>
          <wp:positionV relativeFrom="paragraph">
            <wp:posOffset>-855345</wp:posOffset>
          </wp:positionV>
          <wp:extent cx="5365750" cy="1423649"/>
          <wp:effectExtent l="0" t="0" r="6350" b="5715"/>
          <wp:wrapNone/>
          <wp:docPr id="119006989"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006989" name="Obraz 119006989"/>
                  <pic:cNvPicPr/>
                </pic:nvPicPr>
                <pic:blipFill>
                  <a:blip r:embed="rId1">
                    <a:extLst>
                      <a:ext uri="{28A0092B-C50C-407E-A947-70E740481C1C}">
                        <a14:useLocalDpi xmlns:a14="http://schemas.microsoft.com/office/drawing/2010/main" val="0"/>
                      </a:ext>
                    </a:extLst>
                  </a:blip>
                  <a:stretch>
                    <a:fillRect/>
                  </a:stretch>
                </pic:blipFill>
                <pic:spPr>
                  <a:xfrm>
                    <a:off x="0" y="0"/>
                    <a:ext cx="5365750" cy="1423649"/>
                  </a:xfrm>
                  <a:prstGeom prst="rect">
                    <a:avLst/>
                  </a:prstGeom>
                </pic:spPr>
              </pic:pic>
            </a:graphicData>
          </a:graphic>
          <wp14:sizeRelH relativeFrom="margin">
            <wp14:pctWidth>0</wp14:pctWidth>
          </wp14:sizeRelH>
          <wp14:sizeRelV relativeFrom="margin">
            <wp14:pctHeight>0</wp14:pctHeight>
          </wp14:sizeRelV>
        </wp:anchor>
      </w:drawing>
    </w:r>
  </w:p>
  <w:p w14:paraId="2D81A259" w14:textId="61814468" w:rsidR="00666936" w:rsidRDefault="00E72B29">
    <w:pPr>
      <w:pStyle w:val="Nagwek"/>
    </w:pPr>
    <w:r>
      <w:rPr>
        <w:noProof/>
      </w:rPr>
      <w:pict w14:anchorId="3E1DF6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7996580" o:spid="_x0000_s2051" type="#_x0000_t75" style="position:absolute;margin-left:0;margin-top:0;width:453.25pt;height:453.25pt;z-index:-251656192;mso-position-horizontal:center;mso-position-horizontal-relative:margin;mso-position-vertical:center;mso-position-vertical-relative:margin" o:allowincell="f">
          <v:imagedata r:id="rId2" o:title="sygnet_milisystem_black" gain="19661f" blacklevel="26214f" grayscale="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32250" w14:textId="0DE30DEA" w:rsidR="00666936" w:rsidRDefault="00E72B29">
    <w:pPr>
      <w:pStyle w:val="Nagwek"/>
    </w:pPr>
    <w:r>
      <w:rPr>
        <w:noProof/>
      </w:rPr>
      <w:pict w14:anchorId="5A998B7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7996578" o:spid="_x0000_s2049" type="#_x0000_t75" style="position:absolute;margin-left:0;margin-top:0;width:453.25pt;height:453.25pt;z-index:-251658240;mso-position-horizontal:center;mso-position-horizontal-relative:margin;mso-position-vertical:center;mso-position-vertical-relative:margin" o:allowincell="f">
          <v:imagedata r:id="rId1" o:title="sygnet_milisystem_black"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6936"/>
    <w:rsid w:val="000067BE"/>
    <w:rsid w:val="00007AFA"/>
    <w:rsid w:val="000119EA"/>
    <w:rsid w:val="00034306"/>
    <w:rsid w:val="000432DE"/>
    <w:rsid w:val="00044BCB"/>
    <w:rsid w:val="000629AC"/>
    <w:rsid w:val="00065DC7"/>
    <w:rsid w:val="00073BA2"/>
    <w:rsid w:val="000F4114"/>
    <w:rsid w:val="00120360"/>
    <w:rsid w:val="001314A0"/>
    <w:rsid w:val="001726D0"/>
    <w:rsid w:val="001E6B62"/>
    <w:rsid w:val="00211827"/>
    <w:rsid w:val="00232F6A"/>
    <w:rsid w:val="002B68CD"/>
    <w:rsid w:val="00300A5D"/>
    <w:rsid w:val="00380E83"/>
    <w:rsid w:val="0041649A"/>
    <w:rsid w:val="0045080F"/>
    <w:rsid w:val="00460E80"/>
    <w:rsid w:val="0048228D"/>
    <w:rsid w:val="00496639"/>
    <w:rsid w:val="004A713D"/>
    <w:rsid w:val="004B4F21"/>
    <w:rsid w:val="004E58D3"/>
    <w:rsid w:val="004F6B0C"/>
    <w:rsid w:val="00545409"/>
    <w:rsid w:val="00596A36"/>
    <w:rsid w:val="005C39B6"/>
    <w:rsid w:val="00601777"/>
    <w:rsid w:val="00616E45"/>
    <w:rsid w:val="006419F3"/>
    <w:rsid w:val="00662A2B"/>
    <w:rsid w:val="00666936"/>
    <w:rsid w:val="00671BF6"/>
    <w:rsid w:val="0067320B"/>
    <w:rsid w:val="00691B07"/>
    <w:rsid w:val="0069543A"/>
    <w:rsid w:val="00695833"/>
    <w:rsid w:val="006A7844"/>
    <w:rsid w:val="006C1BF7"/>
    <w:rsid w:val="006D521C"/>
    <w:rsid w:val="006E71C2"/>
    <w:rsid w:val="006F3FFE"/>
    <w:rsid w:val="007348F3"/>
    <w:rsid w:val="0075221A"/>
    <w:rsid w:val="00777ABD"/>
    <w:rsid w:val="00782CFA"/>
    <w:rsid w:val="00792917"/>
    <w:rsid w:val="007A5AD8"/>
    <w:rsid w:val="007B1415"/>
    <w:rsid w:val="007E0BE4"/>
    <w:rsid w:val="007F5BA5"/>
    <w:rsid w:val="007F74A3"/>
    <w:rsid w:val="00805E82"/>
    <w:rsid w:val="00816C98"/>
    <w:rsid w:val="00825A9B"/>
    <w:rsid w:val="00850FC9"/>
    <w:rsid w:val="008627E8"/>
    <w:rsid w:val="008647AF"/>
    <w:rsid w:val="00870AC1"/>
    <w:rsid w:val="00897849"/>
    <w:rsid w:val="008A69D8"/>
    <w:rsid w:val="008E38AB"/>
    <w:rsid w:val="00910636"/>
    <w:rsid w:val="00964481"/>
    <w:rsid w:val="009C7EA4"/>
    <w:rsid w:val="00A06C09"/>
    <w:rsid w:val="00A2416B"/>
    <w:rsid w:val="00A26305"/>
    <w:rsid w:val="00A320BA"/>
    <w:rsid w:val="00A425E5"/>
    <w:rsid w:val="00A45577"/>
    <w:rsid w:val="00A9705C"/>
    <w:rsid w:val="00AC6938"/>
    <w:rsid w:val="00AD2958"/>
    <w:rsid w:val="00AF74B7"/>
    <w:rsid w:val="00B215E4"/>
    <w:rsid w:val="00B272C6"/>
    <w:rsid w:val="00B359B5"/>
    <w:rsid w:val="00B55DFD"/>
    <w:rsid w:val="00B60191"/>
    <w:rsid w:val="00B62E8B"/>
    <w:rsid w:val="00B91FB2"/>
    <w:rsid w:val="00BA7BDD"/>
    <w:rsid w:val="00C02FF7"/>
    <w:rsid w:val="00C631B3"/>
    <w:rsid w:val="00C668AE"/>
    <w:rsid w:val="00C856BF"/>
    <w:rsid w:val="00CB1001"/>
    <w:rsid w:val="00CB22A0"/>
    <w:rsid w:val="00D13B5F"/>
    <w:rsid w:val="00D24125"/>
    <w:rsid w:val="00D52A5E"/>
    <w:rsid w:val="00D84E30"/>
    <w:rsid w:val="00D85027"/>
    <w:rsid w:val="00DE14A0"/>
    <w:rsid w:val="00E260F5"/>
    <w:rsid w:val="00E314B9"/>
    <w:rsid w:val="00E52514"/>
    <w:rsid w:val="00E54CA2"/>
    <w:rsid w:val="00E636FA"/>
    <w:rsid w:val="00E72B29"/>
    <w:rsid w:val="00E81D04"/>
    <w:rsid w:val="00E85FC3"/>
    <w:rsid w:val="00EB482D"/>
    <w:rsid w:val="00EC32CC"/>
    <w:rsid w:val="00EF0196"/>
    <w:rsid w:val="00EF03C1"/>
    <w:rsid w:val="00EF12B5"/>
    <w:rsid w:val="00F12ED5"/>
    <w:rsid w:val="00F2414B"/>
    <w:rsid w:val="00F36670"/>
    <w:rsid w:val="00F540FC"/>
    <w:rsid w:val="00F85AFD"/>
    <w:rsid w:val="00FB6FD2"/>
    <w:rsid w:val="00FF61F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28BF265F"/>
  <w15:chartTrackingRefBased/>
  <w15:docId w15:val="{01EC79F9-3398-479A-AA12-3900C14BD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6669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6669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666936"/>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666936"/>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666936"/>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666936"/>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666936"/>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666936"/>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666936"/>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666936"/>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666936"/>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666936"/>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666936"/>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666936"/>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666936"/>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666936"/>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666936"/>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666936"/>
    <w:rPr>
      <w:rFonts w:eastAsiaTheme="majorEastAsia" w:cstheme="majorBidi"/>
      <w:color w:val="272727" w:themeColor="text1" w:themeTint="D8"/>
    </w:rPr>
  </w:style>
  <w:style w:type="paragraph" w:styleId="Tytu">
    <w:name w:val="Title"/>
    <w:basedOn w:val="Normalny"/>
    <w:next w:val="Normalny"/>
    <w:link w:val="TytuZnak"/>
    <w:uiPriority w:val="10"/>
    <w:qFormat/>
    <w:rsid w:val="006669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666936"/>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666936"/>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666936"/>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666936"/>
    <w:pPr>
      <w:spacing w:before="160"/>
      <w:jc w:val="center"/>
    </w:pPr>
    <w:rPr>
      <w:i/>
      <w:iCs/>
      <w:color w:val="404040" w:themeColor="text1" w:themeTint="BF"/>
    </w:rPr>
  </w:style>
  <w:style w:type="character" w:customStyle="1" w:styleId="CytatZnak">
    <w:name w:val="Cytat Znak"/>
    <w:basedOn w:val="Domylnaczcionkaakapitu"/>
    <w:link w:val="Cytat"/>
    <w:uiPriority w:val="29"/>
    <w:rsid w:val="00666936"/>
    <w:rPr>
      <w:i/>
      <w:iCs/>
      <w:color w:val="404040" w:themeColor="text1" w:themeTint="BF"/>
    </w:rPr>
  </w:style>
  <w:style w:type="paragraph" w:styleId="Akapitzlist">
    <w:name w:val="List Paragraph"/>
    <w:basedOn w:val="Normalny"/>
    <w:uiPriority w:val="34"/>
    <w:qFormat/>
    <w:rsid w:val="00666936"/>
    <w:pPr>
      <w:ind w:left="720"/>
      <w:contextualSpacing/>
    </w:pPr>
  </w:style>
  <w:style w:type="character" w:styleId="Wyrnienieintensywne">
    <w:name w:val="Intense Emphasis"/>
    <w:basedOn w:val="Domylnaczcionkaakapitu"/>
    <w:uiPriority w:val="21"/>
    <w:qFormat/>
    <w:rsid w:val="00666936"/>
    <w:rPr>
      <w:i/>
      <w:iCs/>
      <w:color w:val="0F4761" w:themeColor="accent1" w:themeShade="BF"/>
    </w:rPr>
  </w:style>
  <w:style w:type="paragraph" w:styleId="Cytatintensywny">
    <w:name w:val="Intense Quote"/>
    <w:basedOn w:val="Normalny"/>
    <w:next w:val="Normalny"/>
    <w:link w:val="CytatintensywnyZnak"/>
    <w:uiPriority w:val="30"/>
    <w:qFormat/>
    <w:rsid w:val="006669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666936"/>
    <w:rPr>
      <w:i/>
      <w:iCs/>
      <w:color w:val="0F4761" w:themeColor="accent1" w:themeShade="BF"/>
    </w:rPr>
  </w:style>
  <w:style w:type="character" w:styleId="Odwoanieintensywne">
    <w:name w:val="Intense Reference"/>
    <w:basedOn w:val="Domylnaczcionkaakapitu"/>
    <w:uiPriority w:val="32"/>
    <w:qFormat/>
    <w:rsid w:val="00666936"/>
    <w:rPr>
      <w:b/>
      <w:bCs/>
      <w:smallCaps/>
      <w:color w:val="0F4761" w:themeColor="accent1" w:themeShade="BF"/>
      <w:spacing w:val="5"/>
    </w:rPr>
  </w:style>
  <w:style w:type="paragraph" w:styleId="Nagwek">
    <w:name w:val="header"/>
    <w:basedOn w:val="Normalny"/>
    <w:link w:val="NagwekZnak"/>
    <w:uiPriority w:val="99"/>
    <w:unhideWhenUsed/>
    <w:rsid w:val="00666936"/>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66936"/>
  </w:style>
  <w:style w:type="paragraph" w:styleId="Stopka">
    <w:name w:val="footer"/>
    <w:basedOn w:val="Normalny"/>
    <w:link w:val="StopkaZnak"/>
    <w:uiPriority w:val="99"/>
    <w:unhideWhenUsed/>
    <w:rsid w:val="0066693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66936"/>
  </w:style>
  <w:style w:type="paragraph" w:customStyle="1" w:styleId="Podstawowyakapit">
    <w:name w:val="[Podstawowy akapit]"/>
    <w:basedOn w:val="Normalny"/>
    <w:uiPriority w:val="99"/>
    <w:rsid w:val="000432DE"/>
    <w:pPr>
      <w:autoSpaceDE w:val="0"/>
      <w:autoSpaceDN w:val="0"/>
      <w:adjustRightInd w:val="0"/>
      <w:spacing w:after="0" w:line="288" w:lineRule="auto"/>
      <w:textAlignment w:val="center"/>
    </w:pPr>
    <w:rPr>
      <w:rFonts w:ascii="Minion Pro" w:hAnsi="Minion Pro" w:cs="Minion Pro"/>
      <w:color w:val="000000"/>
      <w:kern w:val="0"/>
      <w:sz w:val="24"/>
      <w:szCs w:val="24"/>
    </w:rPr>
  </w:style>
  <w:style w:type="character" w:styleId="Hipercze">
    <w:name w:val="Hyperlink"/>
    <w:basedOn w:val="Domylnaczcionkaakapitu"/>
    <w:uiPriority w:val="99"/>
    <w:unhideWhenUsed/>
    <w:rsid w:val="00E54CA2"/>
    <w:rPr>
      <w:color w:val="467886" w:themeColor="hyperlink"/>
      <w:u w:val="single"/>
    </w:rPr>
  </w:style>
  <w:style w:type="character" w:customStyle="1" w:styleId="Nierozpoznanawzmianka1">
    <w:name w:val="Nierozpoznana wzmianka1"/>
    <w:basedOn w:val="Domylnaczcionkaakapitu"/>
    <w:uiPriority w:val="99"/>
    <w:semiHidden/>
    <w:unhideWhenUsed/>
    <w:rsid w:val="00E54CA2"/>
    <w:rPr>
      <w:color w:val="605E5C"/>
      <w:shd w:val="clear" w:color="auto" w:fill="E1DFDD"/>
    </w:rPr>
  </w:style>
  <w:style w:type="character" w:styleId="Nierozpoznanawzmianka">
    <w:name w:val="Unresolved Mention"/>
    <w:basedOn w:val="Domylnaczcionkaakapitu"/>
    <w:uiPriority w:val="99"/>
    <w:semiHidden/>
    <w:unhideWhenUsed/>
    <w:rsid w:val="007F5B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627677">
      <w:bodyDiv w:val="1"/>
      <w:marLeft w:val="0"/>
      <w:marRight w:val="0"/>
      <w:marTop w:val="0"/>
      <w:marBottom w:val="0"/>
      <w:divBdr>
        <w:top w:val="none" w:sz="0" w:space="0" w:color="auto"/>
        <w:left w:val="none" w:sz="0" w:space="0" w:color="auto"/>
        <w:bottom w:val="none" w:sz="0" w:space="0" w:color="auto"/>
        <w:right w:val="none" w:sz="0" w:space="0" w:color="auto"/>
      </w:divBdr>
    </w:div>
    <w:div w:id="330645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biuro@relacjerynku.pl"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relacjerynku.pl"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2</Pages>
  <Words>750</Words>
  <Characters>4504</Characters>
  <Application>Microsoft Office Word</Application>
  <DocSecurity>0</DocSecurity>
  <Lines>37</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Kuba Pozowski</dc:creator>
  <cp:keywords/>
  <dc:description/>
  <cp:lastModifiedBy>Jacek Grobel</cp:lastModifiedBy>
  <cp:revision>106</cp:revision>
  <dcterms:created xsi:type="dcterms:W3CDTF">2024-10-11T12:15:00Z</dcterms:created>
  <dcterms:modified xsi:type="dcterms:W3CDTF">2025-05-15T11:51:00Z</dcterms:modified>
</cp:coreProperties>
</file>