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226B5" w14:textId="77777777" w:rsidR="007A5AD8" w:rsidRPr="00E54CA2" w:rsidRDefault="007A5AD8" w:rsidP="007A5AD8">
      <w:pPr>
        <w:spacing w:after="0" w:line="240" w:lineRule="auto"/>
        <w:jc w:val="both"/>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Informacja prasowa</w:t>
      </w:r>
    </w:p>
    <w:p w14:paraId="06F3B311" w14:textId="61EAC659" w:rsidR="007A5AD8" w:rsidRPr="00E54CA2" w:rsidRDefault="00BA1417" w:rsidP="007A5AD8">
      <w:pPr>
        <w:spacing w:after="0" w:line="240" w:lineRule="auto"/>
        <w:jc w:val="both"/>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Toruń</w:t>
      </w:r>
      <w:r w:rsidR="007A5AD8" w:rsidRPr="00E54CA2">
        <w:rPr>
          <w:rFonts w:ascii="Calibri" w:eastAsia="Times New Roman" w:hAnsi="Calibri" w:cs="Calibri"/>
          <w:kern w:val="0"/>
          <w:lang w:eastAsia="pl-PL"/>
          <w14:ligatures w14:val="none"/>
        </w:rPr>
        <w:t xml:space="preserve">, </w:t>
      </w:r>
      <w:r w:rsidR="00E81D04">
        <w:rPr>
          <w:rFonts w:ascii="Calibri" w:eastAsia="Times New Roman" w:hAnsi="Calibri" w:cs="Calibri"/>
          <w:kern w:val="0"/>
          <w:lang w:eastAsia="pl-PL"/>
          <w14:ligatures w14:val="none"/>
        </w:rPr>
        <w:t>1</w:t>
      </w:r>
      <w:r w:rsidR="0096217C">
        <w:rPr>
          <w:rFonts w:ascii="Calibri" w:eastAsia="Times New Roman" w:hAnsi="Calibri" w:cs="Calibri"/>
          <w:kern w:val="0"/>
          <w:lang w:eastAsia="pl-PL"/>
          <w14:ligatures w14:val="none"/>
        </w:rPr>
        <w:t>5</w:t>
      </w:r>
      <w:r w:rsidR="007A5AD8" w:rsidRPr="00E54CA2">
        <w:rPr>
          <w:rFonts w:ascii="Calibri" w:eastAsia="Times New Roman" w:hAnsi="Calibri" w:cs="Calibri"/>
          <w:kern w:val="0"/>
          <w:lang w:eastAsia="pl-PL"/>
          <w14:ligatures w14:val="none"/>
        </w:rPr>
        <w:t>.0</w:t>
      </w:r>
      <w:r w:rsidR="00E81D04">
        <w:rPr>
          <w:rFonts w:ascii="Calibri" w:eastAsia="Times New Roman" w:hAnsi="Calibri" w:cs="Calibri"/>
          <w:kern w:val="0"/>
          <w:lang w:eastAsia="pl-PL"/>
          <w14:ligatures w14:val="none"/>
        </w:rPr>
        <w:t>5</w:t>
      </w:r>
      <w:r w:rsidR="007A5AD8" w:rsidRPr="00E54CA2">
        <w:rPr>
          <w:rFonts w:ascii="Calibri" w:eastAsia="Times New Roman" w:hAnsi="Calibri" w:cs="Calibri"/>
          <w:kern w:val="0"/>
          <w:lang w:eastAsia="pl-PL"/>
          <w14:ligatures w14:val="none"/>
        </w:rPr>
        <w:t>.202</w:t>
      </w:r>
      <w:r w:rsidR="00E81D04">
        <w:rPr>
          <w:rFonts w:ascii="Calibri" w:eastAsia="Times New Roman" w:hAnsi="Calibri" w:cs="Calibri"/>
          <w:kern w:val="0"/>
          <w:lang w:eastAsia="pl-PL"/>
          <w14:ligatures w14:val="none"/>
        </w:rPr>
        <w:t>5</w:t>
      </w:r>
    </w:p>
    <w:p w14:paraId="15DACA32" w14:textId="6C76C704" w:rsidR="00616E45" w:rsidRDefault="0048228D" w:rsidP="00D24125">
      <w:pPr>
        <w:spacing w:before="100" w:beforeAutospacing="1" w:after="100" w:afterAutospacing="1" w:line="240" w:lineRule="auto"/>
        <w:jc w:val="both"/>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 xml:space="preserve">Milisystem </w:t>
      </w:r>
      <w:r w:rsidR="002A13D7">
        <w:rPr>
          <w:rFonts w:ascii="Calibri" w:eastAsia="Times New Roman" w:hAnsi="Calibri" w:cs="Calibri"/>
          <w:b/>
          <w:bCs/>
          <w:kern w:val="0"/>
          <w:lang w:eastAsia="pl-PL"/>
          <w14:ligatures w14:val="none"/>
        </w:rPr>
        <w:t xml:space="preserve">udziela </w:t>
      </w:r>
      <w:r w:rsidR="002A13D7" w:rsidRPr="002A13D7">
        <w:rPr>
          <w:rFonts w:ascii="Calibri" w:eastAsia="Times New Roman" w:hAnsi="Calibri" w:cs="Calibri"/>
          <w:b/>
          <w:bCs/>
          <w:kern w:val="0"/>
          <w:lang w:eastAsia="pl-PL"/>
          <w14:ligatures w14:val="none"/>
        </w:rPr>
        <w:t xml:space="preserve">pożyczki </w:t>
      </w:r>
      <w:r w:rsidR="00F00019">
        <w:rPr>
          <w:rFonts w:ascii="Calibri" w:eastAsia="Times New Roman" w:hAnsi="Calibri" w:cs="Calibri"/>
          <w:b/>
          <w:bCs/>
          <w:kern w:val="0"/>
          <w:lang w:eastAsia="pl-PL"/>
          <w14:ligatures w14:val="none"/>
        </w:rPr>
        <w:t xml:space="preserve">2 mln zł </w:t>
      </w:r>
      <w:r w:rsidR="002A13D7" w:rsidRPr="002A13D7">
        <w:rPr>
          <w:rFonts w:ascii="Calibri" w:eastAsia="Times New Roman" w:hAnsi="Calibri" w:cs="Calibri"/>
          <w:b/>
          <w:bCs/>
          <w:kern w:val="0"/>
          <w:lang w:eastAsia="pl-PL"/>
          <w14:ligatures w14:val="none"/>
        </w:rPr>
        <w:t xml:space="preserve">na zakup linii produkcyjnej, służącej do produkcji pocisków </w:t>
      </w:r>
      <w:proofErr w:type="spellStart"/>
      <w:r w:rsidR="002A13D7" w:rsidRPr="002A13D7">
        <w:rPr>
          <w:rFonts w:ascii="Calibri" w:eastAsia="Times New Roman" w:hAnsi="Calibri" w:cs="Calibri"/>
          <w:b/>
          <w:bCs/>
          <w:kern w:val="0"/>
          <w:lang w:eastAsia="pl-PL"/>
          <w14:ligatures w14:val="none"/>
        </w:rPr>
        <w:t>pełnopłaszczowych</w:t>
      </w:r>
      <w:proofErr w:type="spellEnd"/>
    </w:p>
    <w:p w14:paraId="022A70C1" w14:textId="5AB1E986" w:rsidR="00560788" w:rsidRPr="00560788" w:rsidRDefault="00560788" w:rsidP="00560788">
      <w:pPr>
        <w:spacing w:before="100" w:beforeAutospacing="1" w:after="100" w:afterAutospacing="1" w:line="240" w:lineRule="auto"/>
        <w:jc w:val="both"/>
        <w:rPr>
          <w:rFonts w:ascii="Calibri" w:eastAsia="Times New Roman" w:hAnsi="Calibri" w:cs="Calibri"/>
          <w:b/>
          <w:bCs/>
          <w:kern w:val="0"/>
          <w:lang w:eastAsia="pl-PL"/>
          <w14:ligatures w14:val="none"/>
        </w:rPr>
      </w:pPr>
      <w:r w:rsidRPr="00560788">
        <w:rPr>
          <w:rFonts w:ascii="Calibri" w:eastAsia="Times New Roman" w:hAnsi="Calibri" w:cs="Calibri"/>
          <w:b/>
          <w:bCs/>
          <w:kern w:val="0"/>
          <w:lang w:eastAsia="pl-PL"/>
          <w14:ligatures w14:val="none"/>
        </w:rPr>
        <w:t>Milisystem S.A.</w:t>
      </w:r>
      <w:r>
        <w:rPr>
          <w:rFonts w:ascii="Calibri" w:eastAsia="Times New Roman" w:hAnsi="Calibri" w:cs="Calibri"/>
          <w:b/>
          <w:bCs/>
          <w:kern w:val="0"/>
          <w:lang w:eastAsia="pl-PL"/>
          <w14:ligatures w14:val="none"/>
        </w:rPr>
        <w:t>, czyli</w:t>
      </w:r>
      <w:r w:rsidR="00D8254C">
        <w:rPr>
          <w:rFonts w:ascii="Calibri" w:eastAsia="Times New Roman" w:hAnsi="Calibri" w:cs="Calibri"/>
          <w:b/>
          <w:bCs/>
          <w:kern w:val="0"/>
          <w:lang w:eastAsia="pl-PL"/>
          <w14:ligatures w14:val="none"/>
        </w:rPr>
        <w:t xml:space="preserve"> </w:t>
      </w:r>
      <w:r w:rsidR="00D8254C" w:rsidRPr="00D8254C">
        <w:rPr>
          <w:rFonts w:ascii="Calibri" w:eastAsia="Times New Roman" w:hAnsi="Calibri" w:cs="Calibri"/>
          <w:b/>
          <w:bCs/>
          <w:kern w:val="0"/>
          <w:lang w:eastAsia="pl-PL"/>
          <w14:ligatures w14:val="none"/>
        </w:rPr>
        <w:t>spółka technologiczna notowana na rynku alternatywnym NewConnect i oferująca szeroką gamę zaawansowanych rozwiązań symulatorów strzeleckich (tzw. trenażerów strzeleckich),</w:t>
      </w:r>
      <w:r w:rsidR="00D8254C">
        <w:rPr>
          <w:rFonts w:ascii="Calibri" w:eastAsia="Times New Roman" w:hAnsi="Calibri" w:cs="Calibri"/>
          <w:b/>
          <w:bCs/>
          <w:kern w:val="0"/>
          <w:lang w:eastAsia="pl-PL"/>
          <w14:ligatures w14:val="none"/>
        </w:rPr>
        <w:t xml:space="preserve"> poinformowała o zawarciu umowy pożyczki</w:t>
      </w:r>
      <w:r w:rsidR="00A94925">
        <w:rPr>
          <w:rFonts w:ascii="Calibri" w:eastAsia="Times New Roman" w:hAnsi="Calibri" w:cs="Calibri"/>
          <w:b/>
          <w:bCs/>
          <w:kern w:val="0"/>
          <w:lang w:eastAsia="pl-PL"/>
          <w14:ligatures w14:val="none"/>
        </w:rPr>
        <w:t xml:space="preserve"> </w:t>
      </w:r>
      <w:r w:rsidR="00987119">
        <w:rPr>
          <w:rFonts w:ascii="Calibri" w:eastAsia="Times New Roman" w:hAnsi="Calibri" w:cs="Calibri"/>
          <w:b/>
          <w:bCs/>
          <w:kern w:val="0"/>
          <w:lang w:eastAsia="pl-PL"/>
          <w14:ligatures w14:val="none"/>
        </w:rPr>
        <w:t xml:space="preserve">celowej </w:t>
      </w:r>
      <w:r w:rsidRPr="00560788">
        <w:rPr>
          <w:rFonts w:ascii="Calibri" w:eastAsia="Times New Roman" w:hAnsi="Calibri" w:cs="Calibri"/>
          <w:b/>
          <w:bCs/>
          <w:kern w:val="0"/>
          <w:lang w:eastAsia="pl-PL"/>
          <w14:ligatures w14:val="none"/>
        </w:rPr>
        <w:t xml:space="preserve">z ALS Zawadzki sp. k. na zakup linii produkcyjnej, służącej do produkcji pocisków </w:t>
      </w:r>
      <w:proofErr w:type="spellStart"/>
      <w:r w:rsidRPr="00560788">
        <w:rPr>
          <w:rFonts w:ascii="Calibri" w:eastAsia="Times New Roman" w:hAnsi="Calibri" w:cs="Calibri"/>
          <w:b/>
          <w:bCs/>
          <w:kern w:val="0"/>
          <w:lang w:eastAsia="pl-PL"/>
          <w14:ligatures w14:val="none"/>
        </w:rPr>
        <w:t>pełnopłaszczowych</w:t>
      </w:r>
      <w:proofErr w:type="spellEnd"/>
      <w:r w:rsidR="00987119">
        <w:rPr>
          <w:rFonts w:ascii="Calibri" w:eastAsia="Times New Roman" w:hAnsi="Calibri" w:cs="Calibri"/>
          <w:b/>
          <w:bCs/>
          <w:kern w:val="0"/>
          <w:lang w:eastAsia="pl-PL"/>
          <w14:ligatures w14:val="none"/>
        </w:rPr>
        <w:t xml:space="preserve">, </w:t>
      </w:r>
      <w:r w:rsidR="00EC3FCA">
        <w:rPr>
          <w:rFonts w:ascii="Calibri" w:eastAsia="Times New Roman" w:hAnsi="Calibri" w:cs="Calibri"/>
          <w:b/>
          <w:bCs/>
          <w:kern w:val="0"/>
          <w:lang w:eastAsia="pl-PL"/>
          <w14:ligatures w14:val="none"/>
        </w:rPr>
        <w:t xml:space="preserve">w maksymalnej wysokości </w:t>
      </w:r>
      <w:r w:rsidR="00EC3FCA" w:rsidRPr="00560788">
        <w:rPr>
          <w:rFonts w:ascii="Calibri" w:eastAsia="Times New Roman" w:hAnsi="Calibri" w:cs="Calibri"/>
          <w:b/>
          <w:bCs/>
          <w:kern w:val="0"/>
          <w:lang w:eastAsia="pl-PL"/>
          <w14:ligatures w14:val="none"/>
        </w:rPr>
        <w:t xml:space="preserve">2.085.000,00 zł, </w:t>
      </w:r>
      <w:r w:rsidR="00EC3FCA">
        <w:rPr>
          <w:rFonts w:ascii="Calibri" w:eastAsia="Times New Roman" w:hAnsi="Calibri" w:cs="Calibri"/>
          <w:b/>
          <w:bCs/>
          <w:kern w:val="0"/>
          <w:lang w:eastAsia="pl-PL"/>
          <w14:ligatures w14:val="none"/>
        </w:rPr>
        <w:t xml:space="preserve">odpowiadającej </w:t>
      </w:r>
      <w:r w:rsidR="00EC3FCA" w:rsidRPr="00560788">
        <w:rPr>
          <w:rFonts w:ascii="Calibri" w:eastAsia="Times New Roman" w:hAnsi="Calibri" w:cs="Calibri"/>
          <w:b/>
          <w:bCs/>
          <w:kern w:val="0"/>
          <w:lang w:eastAsia="pl-PL"/>
          <w14:ligatures w14:val="none"/>
        </w:rPr>
        <w:t xml:space="preserve">wartości linii produkcyjnej wg. oświadczenia </w:t>
      </w:r>
      <w:r w:rsidR="00EC3FCA">
        <w:rPr>
          <w:rFonts w:ascii="Calibri" w:eastAsia="Times New Roman" w:hAnsi="Calibri" w:cs="Calibri"/>
          <w:b/>
          <w:bCs/>
          <w:kern w:val="0"/>
          <w:lang w:eastAsia="pl-PL"/>
          <w14:ligatures w14:val="none"/>
        </w:rPr>
        <w:t>pożyczkobiorcy</w:t>
      </w:r>
      <w:r w:rsidR="001B037D">
        <w:rPr>
          <w:rFonts w:ascii="Calibri" w:eastAsia="Times New Roman" w:hAnsi="Calibri" w:cs="Calibri"/>
          <w:b/>
          <w:bCs/>
          <w:kern w:val="0"/>
          <w:lang w:eastAsia="pl-PL"/>
          <w14:ligatures w14:val="none"/>
        </w:rPr>
        <w:t xml:space="preserve">, </w:t>
      </w:r>
      <w:r w:rsidR="001B037D" w:rsidRPr="001B037D">
        <w:rPr>
          <w:rFonts w:ascii="Calibri" w:eastAsia="Times New Roman" w:hAnsi="Calibri" w:cs="Calibri"/>
          <w:b/>
          <w:bCs/>
          <w:kern w:val="0"/>
          <w:lang w:eastAsia="pl-PL"/>
          <w14:ligatures w14:val="none"/>
        </w:rPr>
        <w:t>przy czym pierwsza transza pożyczki w kwocie 500.000,00 zł</w:t>
      </w:r>
      <w:r w:rsidR="00B44C30">
        <w:rPr>
          <w:rFonts w:ascii="Calibri" w:eastAsia="Times New Roman" w:hAnsi="Calibri" w:cs="Calibri"/>
          <w:b/>
          <w:bCs/>
          <w:kern w:val="0"/>
          <w:lang w:eastAsia="pl-PL"/>
          <w14:ligatures w14:val="none"/>
        </w:rPr>
        <w:t xml:space="preserve"> zostanie uruchomiona </w:t>
      </w:r>
      <w:r w:rsidR="00B44C30" w:rsidRPr="001B037D">
        <w:rPr>
          <w:rFonts w:ascii="Calibri" w:eastAsia="Times New Roman" w:hAnsi="Calibri" w:cs="Calibri"/>
          <w:b/>
          <w:bCs/>
          <w:kern w:val="0"/>
          <w:lang w:eastAsia="pl-PL"/>
          <w14:ligatures w14:val="none"/>
        </w:rPr>
        <w:t>w ciągu 2 tygodni od dnia zawarcia umowy</w:t>
      </w:r>
      <w:r w:rsidR="00B44C30">
        <w:rPr>
          <w:rFonts w:ascii="Calibri" w:eastAsia="Times New Roman" w:hAnsi="Calibri" w:cs="Calibri"/>
          <w:b/>
          <w:bCs/>
          <w:kern w:val="0"/>
          <w:lang w:eastAsia="pl-PL"/>
          <w14:ligatures w14:val="none"/>
        </w:rPr>
        <w:t xml:space="preserve">. </w:t>
      </w:r>
      <w:r w:rsidR="00523FA7">
        <w:rPr>
          <w:rFonts w:ascii="Calibri" w:eastAsia="Times New Roman" w:hAnsi="Calibri" w:cs="Calibri"/>
          <w:b/>
          <w:bCs/>
          <w:kern w:val="0"/>
          <w:lang w:eastAsia="pl-PL"/>
          <w14:ligatures w14:val="none"/>
        </w:rPr>
        <w:t>Pożyczka została udzielona na czas określony</w:t>
      </w:r>
      <w:r w:rsidR="00EC3CC1">
        <w:rPr>
          <w:rFonts w:ascii="Calibri" w:eastAsia="Times New Roman" w:hAnsi="Calibri" w:cs="Calibri"/>
          <w:b/>
          <w:bCs/>
          <w:kern w:val="0"/>
          <w:lang w:eastAsia="pl-PL"/>
          <w14:ligatures w14:val="none"/>
        </w:rPr>
        <w:t xml:space="preserve"> do dnia 31 grudnia 2026 r., a </w:t>
      </w:r>
      <w:r w:rsidR="00013D12">
        <w:rPr>
          <w:rFonts w:ascii="Calibri" w:eastAsia="Times New Roman" w:hAnsi="Calibri" w:cs="Calibri"/>
          <w:b/>
          <w:bCs/>
          <w:kern w:val="0"/>
          <w:lang w:eastAsia="pl-PL"/>
          <w14:ligatures w14:val="none"/>
        </w:rPr>
        <w:t xml:space="preserve">pożyczkodawca zastrzegł sobie prawo </w:t>
      </w:r>
      <w:r w:rsidR="00FE6F17">
        <w:rPr>
          <w:rFonts w:ascii="Calibri" w:eastAsia="Times New Roman" w:hAnsi="Calibri" w:cs="Calibri"/>
          <w:b/>
          <w:bCs/>
          <w:kern w:val="0"/>
          <w:lang w:eastAsia="pl-PL"/>
          <w14:ligatures w14:val="none"/>
        </w:rPr>
        <w:t>jej natychmiastowego wypowiedzenia w określonych w umowie przypadkach.</w:t>
      </w:r>
    </w:p>
    <w:p w14:paraId="2F06EC21" w14:textId="79E44064" w:rsidR="00DC1CC6" w:rsidRDefault="004D1F78" w:rsidP="00D24125">
      <w:pPr>
        <w:spacing w:before="100" w:beforeAutospacing="1" w:after="100" w:afterAutospacing="1" w:line="240" w:lineRule="auto"/>
        <w:jc w:val="both"/>
        <w:rPr>
          <w:rFonts w:ascii="Calibri" w:eastAsia="Times New Roman" w:hAnsi="Calibri" w:cs="Calibri"/>
          <w:kern w:val="0"/>
          <w:lang w:eastAsia="pl-PL"/>
          <w14:ligatures w14:val="none"/>
        </w:rPr>
      </w:pPr>
      <w:r w:rsidRPr="00755E58">
        <w:rPr>
          <w:rFonts w:ascii="Calibri" w:eastAsia="Times New Roman" w:hAnsi="Calibri" w:cs="Calibri"/>
          <w:kern w:val="0"/>
          <w:lang w:eastAsia="pl-PL"/>
          <w14:ligatures w14:val="none"/>
        </w:rPr>
        <w:t xml:space="preserve">Jak </w:t>
      </w:r>
      <w:r w:rsidR="00287271" w:rsidRPr="00755E58">
        <w:rPr>
          <w:rFonts w:ascii="Calibri" w:eastAsia="Times New Roman" w:hAnsi="Calibri" w:cs="Calibri"/>
          <w:kern w:val="0"/>
          <w:lang w:eastAsia="pl-PL"/>
          <w14:ligatures w14:val="none"/>
        </w:rPr>
        <w:t xml:space="preserve">wynika z </w:t>
      </w:r>
      <w:r w:rsidR="00F67DE7" w:rsidRPr="00755E58">
        <w:rPr>
          <w:rFonts w:ascii="Calibri" w:eastAsia="Times New Roman" w:hAnsi="Calibri" w:cs="Calibri"/>
          <w:kern w:val="0"/>
          <w:lang w:eastAsia="pl-PL"/>
          <w14:ligatures w14:val="none"/>
        </w:rPr>
        <w:t xml:space="preserve">opublikowanego </w:t>
      </w:r>
      <w:r w:rsidRPr="00755E58">
        <w:rPr>
          <w:rFonts w:ascii="Calibri" w:eastAsia="Times New Roman" w:hAnsi="Calibri" w:cs="Calibri"/>
          <w:kern w:val="0"/>
          <w:lang w:eastAsia="pl-PL"/>
          <w14:ligatures w14:val="none"/>
        </w:rPr>
        <w:t>raportu bieżącego</w:t>
      </w:r>
      <w:r w:rsidR="00C41A52">
        <w:rPr>
          <w:rFonts w:ascii="Calibri" w:eastAsia="Times New Roman" w:hAnsi="Calibri" w:cs="Calibri"/>
          <w:kern w:val="0"/>
          <w:lang w:eastAsia="pl-PL"/>
          <w14:ligatures w14:val="none"/>
        </w:rPr>
        <w:t xml:space="preserve">, </w:t>
      </w:r>
      <w:r w:rsidR="00287271" w:rsidRPr="00755E58">
        <w:rPr>
          <w:rFonts w:ascii="Calibri" w:eastAsia="Times New Roman" w:hAnsi="Calibri" w:cs="Calibri"/>
          <w:kern w:val="0"/>
          <w:lang w:eastAsia="pl-PL"/>
          <w14:ligatures w14:val="none"/>
        </w:rPr>
        <w:t xml:space="preserve">strony </w:t>
      </w:r>
      <w:r w:rsidR="00E03889" w:rsidRPr="00755E58">
        <w:rPr>
          <w:rFonts w:ascii="Calibri" w:eastAsia="Times New Roman" w:hAnsi="Calibri" w:cs="Calibri"/>
          <w:kern w:val="0"/>
          <w:lang w:eastAsia="pl-PL"/>
          <w14:ligatures w14:val="none"/>
        </w:rPr>
        <w:t xml:space="preserve">przedmiotowej </w:t>
      </w:r>
      <w:r w:rsidR="00004D38" w:rsidRPr="00755E58">
        <w:rPr>
          <w:rFonts w:ascii="Calibri" w:eastAsia="Times New Roman" w:hAnsi="Calibri" w:cs="Calibri"/>
          <w:kern w:val="0"/>
          <w:lang w:eastAsia="pl-PL"/>
          <w14:ligatures w14:val="none"/>
        </w:rPr>
        <w:t xml:space="preserve">umowy </w:t>
      </w:r>
      <w:r w:rsidR="00287271" w:rsidRPr="00755E58">
        <w:rPr>
          <w:rFonts w:ascii="Calibri" w:eastAsia="Times New Roman" w:hAnsi="Calibri" w:cs="Calibri"/>
          <w:kern w:val="0"/>
          <w:lang w:eastAsia="pl-PL"/>
          <w14:ligatures w14:val="none"/>
        </w:rPr>
        <w:t xml:space="preserve">pożyczki zawarły </w:t>
      </w:r>
      <w:r w:rsidR="00F67DE7" w:rsidRPr="00755E58">
        <w:rPr>
          <w:rFonts w:ascii="Calibri" w:eastAsia="Times New Roman" w:hAnsi="Calibri" w:cs="Calibri"/>
          <w:kern w:val="0"/>
          <w:lang w:eastAsia="pl-PL"/>
          <w14:ligatures w14:val="none"/>
        </w:rPr>
        <w:t xml:space="preserve">w </w:t>
      </w:r>
      <w:r w:rsidR="00755E58">
        <w:rPr>
          <w:rFonts w:ascii="Calibri" w:eastAsia="Times New Roman" w:hAnsi="Calibri" w:cs="Calibri"/>
          <w:kern w:val="0"/>
          <w:lang w:eastAsia="pl-PL"/>
          <w14:ligatures w14:val="none"/>
        </w:rPr>
        <w:t xml:space="preserve">jej treści </w:t>
      </w:r>
      <w:r w:rsidR="00C41A52">
        <w:rPr>
          <w:rFonts w:ascii="Calibri" w:eastAsia="Times New Roman" w:hAnsi="Calibri" w:cs="Calibri"/>
          <w:kern w:val="0"/>
          <w:lang w:eastAsia="pl-PL"/>
          <w14:ligatures w14:val="none"/>
        </w:rPr>
        <w:t xml:space="preserve">odgórny </w:t>
      </w:r>
      <w:r w:rsidR="00004D38" w:rsidRPr="00755E58">
        <w:rPr>
          <w:rFonts w:ascii="Calibri" w:eastAsia="Times New Roman" w:hAnsi="Calibri" w:cs="Calibri"/>
          <w:kern w:val="0"/>
          <w:lang w:eastAsia="pl-PL"/>
          <w14:ligatures w14:val="none"/>
        </w:rPr>
        <w:t>mechanizm</w:t>
      </w:r>
      <w:r w:rsidR="00C41A52">
        <w:rPr>
          <w:rFonts w:ascii="Calibri" w:eastAsia="Times New Roman" w:hAnsi="Calibri" w:cs="Calibri"/>
          <w:kern w:val="0"/>
          <w:lang w:eastAsia="pl-PL"/>
          <w14:ligatures w14:val="none"/>
        </w:rPr>
        <w:t xml:space="preserve"> </w:t>
      </w:r>
      <w:r w:rsidR="00DC1CC6" w:rsidRPr="00755E58">
        <w:rPr>
          <w:rFonts w:ascii="Calibri" w:eastAsia="Times New Roman" w:hAnsi="Calibri" w:cs="Calibri"/>
          <w:kern w:val="0"/>
          <w:lang w:eastAsia="pl-PL"/>
          <w14:ligatures w14:val="none"/>
        </w:rPr>
        <w:t xml:space="preserve">obligatoryjnej konwersji </w:t>
      </w:r>
      <w:r w:rsidR="00EE059F" w:rsidRPr="00755E58">
        <w:rPr>
          <w:rFonts w:ascii="Calibri" w:eastAsia="Times New Roman" w:hAnsi="Calibri" w:cs="Calibri"/>
          <w:kern w:val="0"/>
          <w:lang w:eastAsia="pl-PL"/>
          <w14:ligatures w14:val="none"/>
        </w:rPr>
        <w:t>pożyczki na akcje pożyczkobiorcy</w:t>
      </w:r>
      <w:r w:rsidR="003E6058">
        <w:rPr>
          <w:rFonts w:ascii="Calibri" w:eastAsia="Times New Roman" w:hAnsi="Calibri" w:cs="Calibri"/>
          <w:kern w:val="0"/>
          <w:lang w:eastAsia="pl-PL"/>
          <w14:ligatures w14:val="none"/>
        </w:rPr>
        <w:t xml:space="preserve"> </w:t>
      </w:r>
      <w:r w:rsidR="003E6058" w:rsidRPr="003E6058">
        <w:rPr>
          <w:rFonts w:ascii="Calibri" w:eastAsia="Times New Roman" w:hAnsi="Calibri" w:cs="Calibri"/>
          <w:kern w:val="0"/>
          <w:lang w:eastAsia="pl-PL"/>
          <w14:ligatures w14:val="none"/>
        </w:rPr>
        <w:t>w wysokości 10% udziału w kapitale zakładowym</w:t>
      </w:r>
      <w:r w:rsidR="00EE059F" w:rsidRPr="003E6058">
        <w:rPr>
          <w:rFonts w:ascii="Calibri" w:eastAsia="Times New Roman" w:hAnsi="Calibri" w:cs="Calibri"/>
          <w:kern w:val="0"/>
          <w:lang w:eastAsia="pl-PL"/>
          <w14:ligatures w14:val="none"/>
        </w:rPr>
        <w:t>,</w:t>
      </w:r>
      <w:r w:rsidR="00EE059F" w:rsidRPr="00755E58">
        <w:rPr>
          <w:rFonts w:ascii="Calibri" w:eastAsia="Times New Roman" w:hAnsi="Calibri" w:cs="Calibri"/>
          <w:kern w:val="0"/>
          <w:lang w:eastAsia="pl-PL"/>
          <w14:ligatures w14:val="none"/>
        </w:rPr>
        <w:t xml:space="preserve"> </w:t>
      </w:r>
      <w:r w:rsidR="004C3B4A">
        <w:rPr>
          <w:rFonts w:ascii="Calibri" w:eastAsia="Times New Roman" w:hAnsi="Calibri" w:cs="Calibri"/>
          <w:kern w:val="0"/>
          <w:lang w:eastAsia="pl-PL"/>
          <w14:ligatures w14:val="none"/>
        </w:rPr>
        <w:t xml:space="preserve">jednak </w:t>
      </w:r>
      <w:r w:rsidR="00C41A52">
        <w:rPr>
          <w:rFonts w:ascii="Calibri" w:eastAsia="Times New Roman" w:hAnsi="Calibri" w:cs="Calibri"/>
          <w:kern w:val="0"/>
          <w:lang w:eastAsia="pl-PL"/>
          <w14:ligatures w14:val="none"/>
        </w:rPr>
        <w:t xml:space="preserve">wyłącznie </w:t>
      </w:r>
      <w:r w:rsidR="00EE059F" w:rsidRPr="00755E58">
        <w:rPr>
          <w:rFonts w:ascii="Calibri" w:eastAsia="Times New Roman" w:hAnsi="Calibri" w:cs="Calibri"/>
          <w:kern w:val="0"/>
          <w:lang w:eastAsia="pl-PL"/>
          <w14:ligatures w14:val="none"/>
        </w:rPr>
        <w:t xml:space="preserve">w przypadku </w:t>
      </w:r>
      <w:r w:rsidR="00C41A52">
        <w:rPr>
          <w:rFonts w:ascii="Calibri" w:eastAsia="Times New Roman" w:hAnsi="Calibri" w:cs="Calibri"/>
          <w:kern w:val="0"/>
          <w:lang w:eastAsia="pl-PL"/>
          <w14:ligatures w14:val="none"/>
        </w:rPr>
        <w:t xml:space="preserve">wcześniejszego </w:t>
      </w:r>
      <w:r w:rsidR="00755E58" w:rsidRPr="00755E58">
        <w:rPr>
          <w:rFonts w:ascii="Calibri" w:eastAsia="Times New Roman" w:hAnsi="Calibri" w:cs="Calibri"/>
          <w:kern w:val="0"/>
          <w:lang w:eastAsia="pl-PL"/>
          <w14:ligatures w14:val="none"/>
        </w:rPr>
        <w:t>przekształcenia</w:t>
      </w:r>
      <w:r w:rsidR="00C41A52">
        <w:rPr>
          <w:rFonts w:ascii="Calibri" w:eastAsia="Times New Roman" w:hAnsi="Calibri" w:cs="Calibri"/>
          <w:kern w:val="0"/>
          <w:lang w:eastAsia="pl-PL"/>
          <w14:ligatures w14:val="none"/>
        </w:rPr>
        <w:t xml:space="preserve"> obecnej formy prawnej </w:t>
      </w:r>
      <w:r w:rsidR="00755E58" w:rsidRPr="00755E58">
        <w:rPr>
          <w:rFonts w:ascii="Calibri" w:eastAsia="Times New Roman" w:hAnsi="Calibri" w:cs="Calibri"/>
          <w:kern w:val="0"/>
          <w:lang w:eastAsia="pl-PL"/>
          <w14:ligatures w14:val="none"/>
        </w:rPr>
        <w:t>pożyczkobiorcy w spółkę akcyjną oraz wypracowania przez niego określonego zysku netto za rok obrotowy 2025.</w:t>
      </w:r>
      <w:r w:rsidR="00194C3C">
        <w:rPr>
          <w:rFonts w:ascii="Calibri" w:eastAsia="Times New Roman" w:hAnsi="Calibri" w:cs="Calibri"/>
          <w:kern w:val="0"/>
          <w:lang w:eastAsia="pl-PL"/>
          <w14:ligatures w14:val="none"/>
        </w:rPr>
        <w:t xml:space="preserve"> Jednocześnie zastrzeżono, że brak osiągnięcia</w:t>
      </w:r>
      <w:r w:rsidR="004C3B4A">
        <w:rPr>
          <w:rFonts w:ascii="Calibri" w:eastAsia="Times New Roman" w:hAnsi="Calibri" w:cs="Calibri"/>
          <w:kern w:val="0"/>
          <w:lang w:eastAsia="pl-PL"/>
          <w14:ligatures w14:val="none"/>
        </w:rPr>
        <w:t xml:space="preserve"> przez pożyczkobiorcę </w:t>
      </w:r>
      <w:r w:rsidR="00194C3C">
        <w:rPr>
          <w:rFonts w:ascii="Calibri" w:eastAsia="Times New Roman" w:hAnsi="Calibri" w:cs="Calibri"/>
          <w:kern w:val="0"/>
          <w:lang w:eastAsia="pl-PL"/>
          <w14:ligatures w14:val="none"/>
        </w:rPr>
        <w:t xml:space="preserve">określonego zysku netto daje spółce Milisystem prawo, a nie obowiązek </w:t>
      </w:r>
      <w:r w:rsidR="00AA6AC8">
        <w:rPr>
          <w:rFonts w:ascii="Calibri" w:eastAsia="Times New Roman" w:hAnsi="Calibri" w:cs="Calibri"/>
          <w:kern w:val="0"/>
          <w:lang w:eastAsia="pl-PL"/>
          <w14:ligatures w14:val="none"/>
        </w:rPr>
        <w:t>do konwersji pożyczki na akcje pożyczkobiorcy, a brak skorzystania z tego prawa spowoduje po stronie pożyczkobiorcy obowiązek zwrotu nominalnej kwoty pożyczki wraz z odsetkami</w:t>
      </w:r>
      <w:r w:rsidR="00C907EB">
        <w:rPr>
          <w:rFonts w:ascii="Calibri" w:eastAsia="Times New Roman" w:hAnsi="Calibri" w:cs="Calibri"/>
          <w:kern w:val="0"/>
          <w:lang w:eastAsia="pl-PL"/>
          <w14:ligatures w14:val="none"/>
        </w:rPr>
        <w:t xml:space="preserve"> z dniem upływu </w:t>
      </w:r>
      <w:r w:rsidR="008B0F03">
        <w:rPr>
          <w:rFonts w:ascii="Calibri" w:eastAsia="Times New Roman" w:hAnsi="Calibri" w:cs="Calibri"/>
          <w:kern w:val="0"/>
          <w:lang w:eastAsia="pl-PL"/>
          <w14:ligatures w14:val="none"/>
        </w:rPr>
        <w:t>terminu, na jaki pożyczka została udzielona.</w:t>
      </w:r>
    </w:p>
    <w:p w14:paraId="04D23CBE" w14:textId="51EBD2F3" w:rsidR="0009685B" w:rsidRPr="00755E58" w:rsidRDefault="00A57996" w:rsidP="00D24125">
      <w:pPr>
        <w:spacing w:before="100" w:beforeAutospacing="1" w:after="100" w:afterAutospacing="1" w:line="240" w:lineRule="auto"/>
        <w:jc w:val="both"/>
        <w:rPr>
          <w:rFonts w:ascii="Calibri" w:eastAsia="Times New Roman" w:hAnsi="Calibri" w:cs="Calibri"/>
          <w:kern w:val="0"/>
          <w:lang w:eastAsia="pl-PL"/>
          <w14:ligatures w14:val="none"/>
        </w:rPr>
      </w:pPr>
      <w:r>
        <w:rPr>
          <w:rFonts w:ascii="Calibri" w:eastAsia="Times New Roman" w:hAnsi="Calibri" w:cs="Calibri"/>
          <w:i/>
          <w:iCs/>
          <w:kern w:val="0"/>
          <w:lang w:eastAsia="pl-PL"/>
          <w14:ligatures w14:val="none"/>
        </w:rPr>
        <w:t>„</w:t>
      </w:r>
      <w:r w:rsidRPr="00A57996">
        <w:rPr>
          <w:rFonts w:ascii="Calibri" w:eastAsia="Times New Roman" w:hAnsi="Calibri" w:cs="Calibri"/>
          <w:i/>
          <w:iCs/>
          <w:kern w:val="0"/>
          <w:lang w:eastAsia="pl-PL"/>
          <w14:ligatures w14:val="none"/>
        </w:rPr>
        <w:t>Pożyczka jest oprocentowana na warunkach rynkowych, przy czym odsetki będą naliczane od daty uruchomienia drugiej transzy pożyczki</w:t>
      </w:r>
      <w:r w:rsidR="00A47C28">
        <w:rPr>
          <w:rFonts w:ascii="Calibri" w:eastAsia="Times New Roman" w:hAnsi="Calibri" w:cs="Calibri"/>
          <w:kern w:val="0"/>
          <w:lang w:eastAsia="pl-PL"/>
          <w14:ligatures w14:val="none"/>
        </w:rPr>
        <w:t xml:space="preserve">” - </w:t>
      </w:r>
      <w:r w:rsidR="00A47C28" w:rsidRPr="00A47C28">
        <w:rPr>
          <w:rFonts w:ascii="Calibri" w:eastAsia="Times New Roman" w:hAnsi="Calibri" w:cs="Calibri"/>
          <w:b/>
          <w:bCs/>
          <w:kern w:val="0"/>
          <w:lang w:eastAsia="pl-PL"/>
          <w14:ligatures w14:val="none"/>
        </w:rPr>
        <w:t>czytamy w raporcie ESPI Milisystem S.A.</w:t>
      </w:r>
    </w:p>
    <w:p w14:paraId="62E669BD" w14:textId="3033A663" w:rsidR="004D1F78" w:rsidRDefault="00CA7461" w:rsidP="00D24125">
      <w:pPr>
        <w:spacing w:before="100" w:beforeAutospacing="1" w:after="100" w:afterAutospacing="1" w:line="240" w:lineRule="auto"/>
        <w:jc w:val="both"/>
        <w:rPr>
          <w:rFonts w:ascii="Calibri" w:eastAsia="Times New Roman" w:hAnsi="Calibri" w:cs="Calibri"/>
          <w:b/>
          <w:bCs/>
          <w:kern w:val="0"/>
          <w:lang w:eastAsia="pl-PL"/>
          <w14:ligatures w14:val="none"/>
        </w:rPr>
      </w:pPr>
      <w:r>
        <w:rPr>
          <w:rFonts w:ascii="Calibri" w:eastAsia="Times New Roman" w:hAnsi="Calibri" w:cs="Calibri"/>
          <w:i/>
          <w:iCs/>
          <w:kern w:val="0"/>
          <w:lang w:eastAsia="pl-PL"/>
          <w14:ligatures w14:val="none"/>
        </w:rPr>
        <w:t>„</w:t>
      </w:r>
      <w:r w:rsidRPr="00CA7461">
        <w:rPr>
          <w:rFonts w:ascii="Calibri" w:eastAsia="Times New Roman" w:hAnsi="Calibri" w:cs="Calibri"/>
          <w:i/>
          <w:iCs/>
          <w:kern w:val="0"/>
          <w:lang w:eastAsia="pl-PL"/>
          <w14:ligatures w14:val="none"/>
        </w:rPr>
        <w:t xml:space="preserve">Zabezpieczeniem umowy pożyczki jest przewłaszczenie na zabezpieczenie </w:t>
      </w:r>
      <w:r>
        <w:rPr>
          <w:rFonts w:ascii="Calibri" w:eastAsia="Times New Roman" w:hAnsi="Calibri" w:cs="Calibri"/>
          <w:i/>
          <w:iCs/>
          <w:kern w:val="0"/>
          <w:lang w:eastAsia="pl-PL"/>
          <w14:ligatures w14:val="none"/>
        </w:rPr>
        <w:t>l</w:t>
      </w:r>
      <w:r w:rsidRPr="00CA7461">
        <w:rPr>
          <w:rFonts w:ascii="Calibri" w:eastAsia="Times New Roman" w:hAnsi="Calibri" w:cs="Calibri"/>
          <w:i/>
          <w:iCs/>
          <w:kern w:val="0"/>
          <w:lang w:eastAsia="pl-PL"/>
          <w14:ligatures w14:val="none"/>
        </w:rPr>
        <w:t xml:space="preserve">inii </w:t>
      </w:r>
      <w:r>
        <w:rPr>
          <w:rFonts w:ascii="Calibri" w:eastAsia="Times New Roman" w:hAnsi="Calibri" w:cs="Calibri"/>
          <w:i/>
          <w:iCs/>
          <w:kern w:val="0"/>
          <w:lang w:eastAsia="pl-PL"/>
          <w14:ligatures w14:val="none"/>
        </w:rPr>
        <w:t>p</w:t>
      </w:r>
      <w:r w:rsidRPr="00CA7461">
        <w:rPr>
          <w:rFonts w:ascii="Calibri" w:eastAsia="Times New Roman" w:hAnsi="Calibri" w:cs="Calibri"/>
          <w:i/>
          <w:iCs/>
          <w:kern w:val="0"/>
          <w:lang w:eastAsia="pl-PL"/>
          <w14:ligatures w14:val="none"/>
        </w:rPr>
        <w:t xml:space="preserve">rodukcyjnej. Własność </w:t>
      </w:r>
      <w:r>
        <w:rPr>
          <w:rFonts w:ascii="Calibri" w:eastAsia="Times New Roman" w:hAnsi="Calibri" w:cs="Calibri"/>
          <w:i/>
          <w:iCs/>
          <w:kern w:val="0"/>
          <w:lang w:eastAsia="pl-PL"/>
          <w14:ligatures w14:val="none"/>
        </w:rPr>
        <w:t>l</w:t>
      </w:r>
      <w:r w:rsidRPr="00CA7461">
        <w:rPr>
          <w:rFonts w:ascii="Calibri" w:eastAsia="Times New Roman" w:hAnsi="Calibri" w:cs="Calibri"/>
          <w:i/>
          <w:iCs/>
          <w:kern w:val="0"/>
          <w:lang w:eastAsia="pl-PL"/>
          <w14:ligatures w14:val="none"/>
        </w:rPr>
        <w:t xml:space="preserve">inii </w:t>
      </w:r>
      <w:r>
        <w:rPr>
          <w:rFonts w:ascii="Calibri" w:eastAsia="Times New Roman" w:hAnsi="Calibri" w:cs="Calibri"/>
          <w:i/>
          <w:iCs/>
          <w:kern w:val="0"/>
          <w:lang w:eastAsia="pl-PL"/>
          <w14:ligatures w14:val="none"/>
        </w:rPr>
        <w:t>p</w:t>
      </w:r>
      <w:r w:rsidRPr="00CA7461">
        <w:rPr>
          <w:rFonts w:ascii="Calibri" w:eastAsia="Times New Roman" w:hAnsi="Calibri" w:cs="Calibri"/>
          <w:i/>
          <w:iCs/>
          <w:kern w:val="0"/>
          <w:lang w:eastAsia="pl-PL"/>
          <w14:ligatures w14:val="none"/>
        </w:rPr>
        <w:t xml:space="preserve">rodukcyjnej zostaje przeniesiona na Emitenta </w:t>
      </w:r>
      <w:r w:rsidR="00B61B30">
        <w:rPr>
          <w:rFonts w:ascii="Calibri" w:eastAsia="Times New Roman" w:hAnsi="Calibri" w:cs="Calibri"/>
          <w:i/>
          <w:iCs/>
          <w:kern w:val="0"/>
          <w:lang w:eastAsia="pl-PL"/>
          <w14:ligatures w14:val="none"/>
        </w:rPr>
        <w:t xml:space="preserve">[Milisystem S.A. – </w:t>
      </w:r>
      <w:r w:rsidR="00DB6B73">
        <w:rPr>
          <w:rFonts w:ascii="Calibri" w:eastAsia="Times New Roman" w:hAnsi="Calibri" w:cs="Calibri"/>
          <w:i/>
          <w:iCs/>
          <w:kern w:val="0"/>
          <w:lang w:eastAsia="pl-PL"/>
          <w14:ligatures w14:val="none"/>
        </w:rPr>
        <w:t xml:space="preserve">przyp. </w:t>
      </w:r>
      <w:r w:rsidR="00B61B30">
        <w:rPr>
          <w:rFonts w:ascii="Calibri" w:eastAsia="Times New Roman" w:hAnsi="Calibri" w:cs="Calibri"/>
          <w:i/>
          <w:iCs/>
          <w:kern w:val="0"/>
          <w:lang w:eastAsia="pl-PL"/>
          <w14:ligatures w14:val="none"/>
        </w:rPr>
        <w:t xml:space="preserve">red.] </w:t>
      </w:r>
      <w:r w:rsidRPr="00CA7461">
        <w:rPr>
          <w:rFonts w:ascii="Calibri" w:eastAsia="Times New Roman" w:hAnsi="Calibri" w:cs="Calibri"/>
          <w:i/>
          <w:iCs/>
          <w:kern w:val="0"/>
          <w:lang w:eastAsia="pl-PL"/>
          <w14:ligatures w14:val="none"/>
        </w:rPr>
        <w:t>pod warunkiem, że umowa pożyczki lub jej część nie zostanie spłacona w terminach określonych w umowie pożyczki lub w przypadku</w:t>
      </w:r>
      <w:r w:rsidR="00DB6B73">
        <w:rPr>
          <w:rFonts w:ascii="Calibri" w:eastAsia="Times New Roman" w:hAnsi="Calibri" w:cs="Calibri"/>
          <w:i/>
          <w:iCs/>
          <w:kern w:val="0"/>
          <w:lang w:eastAsia="pl-PL"/>
          <w14:ligatures w14:val="none"/>
        </w:rPr>
        <w:t xml:space="preserve">, </w:t>
      </w:r>
      <w:r w:rsidRPr="00CA7461">
        <w:rPr>
          <w:rFonts w:ascii="Calibri" w:eastAsia="Times New Roman" w:hAnsi="Calibri" w:cs="Calibri"/>
          <w:i/>
          <w:iCs/>
          <w:kern w:val="0"/>
          <w:lang w:eastAsia="pl-PL"/>
          <w14:ligatures w14:val="none"/>
        </w:rPr>
        <w:t xml:space="preserve">gdy Partner </w:t>
      </w:r>
      <w:r w:rsidR="00DB6B73">
        <w:rPr>
          <w:rFonts w:ascii="Calibri" w:eastAsia="Times New Roman" w:hAnsi="Calibri" w:cs="Calibri"/>
          <w:i/>
          <w:iCs/>
          <w:kern w:val="0"/>
          <w:lang w:eastAsia="pl-PL"/>
          <w14:ligatures w14:val="none"/>
        </w:rPr>
        <w:t>[</w:t>
      </w:r>
      <w:r w:rsidR="00DB6B73" w:rsidRPr="00DB6B73">
        <w:rPr>
          <w:rFonts w:ascii="Calibri" w:eastAsia="Times New Roman" w:hAnsi="Calibri" w:cs="Calibri"/>
          <w:i/>
          <w:iCs/>
          <w:kern w:val="0"/>
          <w:lang w:eastAsia="pl-PL"/>
          <w14:ligatures w14:val="none"/>
        </w:rPr>
        <w:t>ALS Zawadzki sp. k.</w:t>
      </w:r>
      <w:r w:rsidR="00DB6B73">
        <w:rPr>
          <w:rFonts w:ascii="Calibri" w:eastAsia="Times New Roman" w:hAnsi="Calibri" w:cs="Calibri"/>
          <w:i/>
          <w:iCs/>
          <w:kern w:val="0"/>
          <w:lang w:eastAsia="pl-PL"/>
          <w14:ligatures w14:val="none"/>
        </w:rPr>
        <w:t xml:space="preserve"> – przyp. red.] </w:t>
      </w:r>
      <w:r w:rsidRPr="00CA7461">
        <w:rPr>
          <w:rFonts w:ascii="Calibri" w:eastAsia="Times New Roman" w:hAnsi="Calibri" w:cs="Calibri"/>
          <w:i/>
          <w:iCs/>
          <w:kern w:val="0"/>
          <w:lang w:eastAsia="pl-PL"/>
          <w14:ligatures w14:val="none"/>
        </w:rPr>
        <w:t>nie dokona konwersji pożyczki na akcje</w:t>
      </w:r>
      <w:r w:rsidR="00DB6B73">
        <w:rPr>
          <w:rFonts w:ascii="Calibri" w:eastAsia="Times New Roman" w:hAnsi="Calibri" w:cs="Calibri"/>
          <w:i/>
          <w:iCs/>
          <w:kern w:val="0"/>
          <w:lang w:eastAsia="pl-PL"/>
          <w14:ligatures w14:val="none"/>
        </w:rPr>
        <w:t xml:space="preserve">” </w:t>
      </w:r>
      <w:r w:rsidR="002B5353">
        <w:rPr>
          <w:rFonts w:ascii="Calibri" w:eastAsia="Times New Roman" w:hAnsi="Calibri" w:cs="Calibri"/>
          <w:kern w:val="0"/>
          <w:lang w:eastAsia="pl-PL"/>
          <w14:ligatures w14:val="none"/>
        </w:rPr>
        <w:t>-</w:t>
      </w:r>
      <w:r w:rsidR="00DB6B73">
        <w:rPr>
          <w:rFonts w:ascii="Calibri" w:eastAsia="Times New Roman" w:hAnsi="Calibri" w:cs="Calibri"/>
          <w:kern w:val="0"/>
          <w:lang w:eastAsia="pl-PL"/>
          <w14:ligatures w14:val="none"/>
        </w:rPr>
        <w:t xml:space="preserve"> </w:t>
      </w:r>
      <w:r w:rsidR="00DB6B73" w:rsidRPr="00A32326">
        <w:rPr>
          <w:rFonts w:ascii="Calibri" w:eastAsia="Times New Roman" w:hAnsi="Calibri" w:cs="Calibri"/>
          <w:b/>
          <w:bCs/>
          <w:kern w:val="0"/>
          <w:lang w:eastAsia="pl-PL"/>
          <w14:ligatures w14:val="none"/>
        </w:rPr>
        <w:t xml:space="preserve">uzupełniono o kwestie zabezpieczenia </w:t>
      </w:r>
      <w:r w:rsidR="00A32326" w:rsidRPr="00A32326">
        <w:rPr>
          <w:rFonts w:ascii="Calibri" w:eastAsia="Times New Roman" w:hAnsi="Calibri" w:cs="Calibri"/>
          <w:b/>
          <w:bCs/>
          <w:kern w:val="0"/>
          <w:lang w:eastAsia="pl-PL"/>
          <w14:ligatures w14:val="none"/>
        </w:rPr>
        <w:t>kwoty udzielonej pożyczki.</w:t>
      </w:r>
    </w:p>
    <w:p w14:paraId="01082877" w14:textId="7658AFFD" w:rsidR="00A32326" w:rsidRPr="00DB6B73" w:rsidRDefault="00672A57" w:rsidP="00940F86">
      <w:pPr>
        <w:spacing w:before="100" w:beforeAutospacing="1" w:after="100" w:afterAutospacing="1" w:line="240" w:lineRule="auto"/>
        <w:jc w:val="both"/>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 xml:space="preserve">Podkreślono przy tym, że pożyczkobiorca, czyli </w:t>
      </w:r>
      <w:r w:rsidR="009E56B7" w:rsidRPr="009E56B7">
        <w:rPr>
          <w:rFonts w:ascii="Calibri" w:eastAsia="Times New Roman" w:hAnsi="Calibri" w:cs="Calibri"/>
          <w:kern w:val="0"/>
          <w:lang w:eastAsia="pl-PL"/>
          <w14:ligatures w14:val="none"/>
        </w:rPr>
        <w:t>ALS Zawadzki sp. k. jest podmiotem działającym w branży militarnej, specjalizującym się w produkcji amunicji małokalibrowej na rzecz rynku cywilnego oraz komponentów do jej produkcji, w tym 9mm pocisk</w:t>
      </w:r>
      <w:r w:rsidR="003376F3">
        <w:rPr>
          <w:rFonts w:ascii="Calibri" w:eastAsia="Times New Roman" w:hAnsi="Calibri" w:cs="Calibri"/>
          <w:kern w:val="0"/>
          <w:lang w:eastAsia="pl-PL"/>
          <w14:ligatures w14:val="none"/>
        </w:rPr>
        <w:t>ów</w:t>
      </w:r>
      <w:r w:rsidR="009E56B7" w:rsidRPr="009E56B7">
        <w:rPr>
          <w:rFonts w:ascii="Calibri" w:eastAsia="Times New Roman" w:hAnsi="Calibri" w:cs="Calibri"/>
          <w:kern w:val="0"/>
          <w:lang w:eastAsia="pl-PL"/>
          <w14:ligatures w14:val="none"/>
        </w:rPr>
        <w:t xml:space="preserve"> </w:t>
      </w:r>
      <w:proofErr w:type="spellStart"/>
      <w:r w:rsidR="009E56B7" w:rsidRPr="009E56B7">
        <w:rPr>
          <w:rFonts w:ascii="Calibri" w:eastAsia="Times New Roman" w:hAnsi="Calibri" w:cs="Calibri"/>
          <w:kern w:val="0"/>
          <w:lang w:eastAsia="pl-PL"/>
          <w14:ligatures w14:val="none"/>
        </w:rPr>
        <w:t>pełnopłaszczow</w:t>
      </w:r>
      <w:r w:rsidR="003376F3">
        <w:rPr>
          <w:rFonts w:ascii="Calibri" w:eastAsia="Times New Roman" w:hAnsi="Calibri" w:cs="Calibri"/>
          <w:kern w:val="0"/>
          <w:lang w:eastAsia="pl-PL"/>
          <w14:ligatures w14:val="none"/>
        </w:rPr>
        <w:t>ych</w:t>
      </w:r>
      <w:proofErr w:type="spellEnd"/>
      <w:r w:rsidR="009E56B7" w:rsidRPr="009E56B7">
        <w:rPr>
          <w:rFonts w:ascii="Calibri" w:eastAsia="Times New Roman" w:hAnsi="Calibri" w:cs="Calibri"/>
          <w:kern w:val="0"/>
          <w:lang w:eastAsia="pl-PL"/>
          <w14:ligatures w14:val="none"/>
        </w:rPr>
        <w:t xml:space="preserve"> w dwóch wariantach wagowych</w:t>
      </w:r>
      <w:r w:rsidR="003376F3">
        <w:rPr>
          <w:rFonts w:ascii="Calibri" w:eastAsia="Times New Roman" w:hAnsi="Calibri" w:cs="Calibri"/>
          <w:kern w:val="0"/>
          <w:lang w:eastAsia="pl-PL"/>
          <w14:ligatures w14:val="none"/>
        </w:rPr>
        <w:t>.</w:t>
      </w:r>
      <w:r>
        <w:rPr>
          <w:rFonts w:ascii="Calibri" w:eastAsia="Times New Roman" w:hAnsi="Calibri" w:cs="Calibri"/>
          <w:kern w:val="0"/>
          <w:lang w:eastAsia="pl-PL"/>
          <w14:ligatures w14:val="none"/>
        </w:rPr>
        <w:t xml:space="preserve"> Zwrócono także uwagę, że zawarta umowa pożyczki </w:t>
      </w:r>
      <w:r w:rsidRPr="009E56B7">
        <w:rPr>
          <w:rFonts w:ascii="Calibri" w:eastAsia="Times New Roman" w:hAnsi="Calibri" w:cs="Calibri"/>
          <w:kern w:val="0"/>
          <w:lang w:eastAsia="pl-PL"/>
          <w14:ligatures w14:val="none"/>
        </w:rPr>
        <w:t>jest kolejnym etapem nawiązywania długoterminowej współpracy pomiędzy stronami,</w:t>
      </w:r>
      <w:r>
        <w:rPr>
          <w:rFonts w:ascii="Calibri" w:eastAsia="Times New Roman" w:hAnsi="Calibri" w:cs="Calibri"/>
          <w:kern w:val="0"/>
          <w:lang w:eastAsia="pl-PL"/>
          <w14:ligatures w14:val="none"/>
        </w:rPr>
        <w:t xml:space="preserve"> </w:t>
      </w:r>
      <w:r w:rsidR="00892C51" w:rsidRPr="009E56B7">
        <w:rPr>
          <w:rFonts w:ascii="Calibri" w:eastAsia="Times New Roman" w:hAnsi="Calibri" w:cs="Calibri"/>
          <w:kern w:val="0"/>
          <w:lang w:eastAsia="pl-PL"/>
          <w14:ligatures w14:val="none"/>
        </w:rPr>
        <w:t xml:space="preserve">o czym </w:t>
      </w:r>
      <w:r w:rsidR="00892C51">
        <w:rPr>
          <w:rFonts w:ascii="Calibri" w:eastAsia="Times New Roman" w:hAnsi="Calibri" w:cs="Calibri"/>
          <w:kern w:val="0"/>
          <w:lang w:eastAsia="pl-PL"/>
          <w14:ligatures w14:val="none"/>
        </w:rPr>
        <w:t xml:space="preserve">spółka Milisystem </w:t>
      </w:r>
      <w:r w:rsidR="00892C51" w:rsidRPr="009E56B7">
        <w:rPr>
          <w:rFonts w:ascii="Calibri" w:eastAsia="Times New Roman" w:hAnsi="Calibri" w:cs="Calibri"/>
          <w:kern w:val="0"/>
          <w:lang w:eastAsia="pl-PL"/>
          <w14:ligatures w14:val="none"/>
        </w:rPr>
        <w:t>informował</w:t>
      </w:r>
      <w:r w:rsidR="00892C51">
        <w:rPr>
          <w:rFonts w:ascii="Calibri" w:eastAsia="Times New Roman" w:hAnsi="Calibri" w:cs="Calibri"/>
          <w:kern w:val="0"/>
          <w:lang w:eastAsia="pl-PL"/>
          <w14:ligatures w14:val="none"/>
        </w:rPr>
        <w:t>a</w:t>
      </w:r>
      <w:r w:rsidR="00892C51" w:rsidRPr="009E56B7">
        <w:rPr>
          <w:rFonts w:ascii="Calibri" w:eastAsia="Times New Roman" w:hAnsi="Calibri" w:cs="Calibri"/>
          <w:kern w:val="0"/>
          <w:lang w:eastAsia="pl-PL"/>
          <w14:ligatures w14:val="none"/>
        </w:rPr>
        <w:t xml:space="preserve"> </w:t>
      </w:r>
      <w:r w:rsidR="004F4C19">
        <w:rPr>
          <w:rFonts w:ascii="Calibri" w:eastAsia="Times New Roman" w:hAnsi="Calibri" w:cs="Calibri"/>
          <w:kern w:val="0"/>
          <w:lang w:eastAsia="pl-PL"/>
          <w14:ligatures w14:val="none"/>
        </w:rPr>
        <w:t xml:space="preserve">odrębnym raportem bieżącym ESPI nr 7/2025, </w:t>
      </w:r>
      <w:r w:rsidR="00AB4DB5">
        <w:rPr>
          <w:rFonts w:ascii="Calibri" w:eastAsia="Times New Roman" w:hAnsi="Calibri" w:cs="Calibri"/>
          <w:kern w:val="0"/>
          <w:lang w:eastAsia="pl-PL"/>
          <w14:ligatures w14:val="none"/>
        </w:rPr>
        <w:t xml:space="preserve">w odniesieniu do zawartego w dniu 1 kwietnia 2025 r. </w:t>
      </w:r>
      <w:r w:rsidR="006214DE">
        <w:rPr>
          <w:rFonts w:ascii="Calibri" w:eastAsia="Times New Roman" w:hAnsi="Calibri" w:cs="Calibri"/>
          <w:kern w:val="0"/>
          <w:lang w:eastAsia="pl-PL"/>
          <w14:ligatures w14:val="none"/>
        </w:rPr>
        <w:t>Memorandum Inwestycyjnego</w:t>
      </w:r>
      <w:r w:rsidR="00940F86">
        <w:rPr>
          <w:rFonts w:ascii="Calibri" w:eastAsia="Times New Roman" w:hAnsi="Calibri" w:cs="Calibri"/>
          <w:kern w:val="0"/>
          <w:lang w:eastAsia="pl-PL"/>
          <w14:ligatures w14:val="none"/>
        </w:rPr>
        <w:t>.</w:t>
      </w:r>
    </w:p>
    <w:p w14:paraId="73C05FF1" w14:textId="77777777" w:rsidR="007A5AD8" w:rsidRDefault="007A5AD8" w:rsidP="007A5AD8">
      <w:pPr>
        <w:spacing w:after="0" w:line="240" w:lineRule="auto"/>
        <w:jc w:val="center"/>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w:t>
      </w:r>
    </w:p>
    <w:p w14:paraId="10D33C32" w14:textId="63A9A474" w:rsidR="00E72B29" w:rsidRPr="00E54CA2" w:rsidRDefault="00E72B29" w:rsidP="00E72B29">
      <w:pPr>
        <w:spacing w:after="0" w:line="240" w:lineRule="auto"/>
        <w:jc w:val="both"/>
        <w:rPr>
          <w:rFonts w:ascii="Calibri" w:eastAsia="Times New Roman" w:hAnsi="Calibri" w:cs="Calibri"/>
          <w:kern w:val="0"/>
          <w:lang w:eastAsia="pl-PL"/>
          <w14:ligatures w14:val="none"/>
        </w:rPr>
      </w:pPr>
      <w:r w:rsidRPr="00E72B29">
        <w:rPr>
          <w:rFonts w:ascii="Calibri" w:eastAsia="Times New Roman" w:hAnsi="Calibri" w:cs="Calibri"/>
          <w:b/>
          <w:bCs/>
          <w:kern w:val="0"/>
          <w:lang w:eastAsia="pl-PL"/>
          <w14:ligatures w14:val="none"/>
        </w:rPr>
        <w:t>Milisystem S.A. to spółka notowana na rynku alternatywnym NewConnect, prowadzonym przez Giełdę Papierów Wartościowych w Warszawie S.A. (ticker: MLM).</w:t>
      </w:r>
    </w:p>
    <w:p w14:paraId="362D966A" w14:textId="77777777" w:rsidR="007A5AD8" w:rsidRPr="00E54CA2" w:rsidRDefault="007A5AD8" w:rsidP="007A5AD8">
      <w:pPr>
        <w:spacing w:before="100" w:beforeAutospacing="1" w:after="100" w:afterAutospacing="1" w:line="240" w:lineRule="auto"/>
        <w:jc w:val="both"/>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Spółki grupy Milisystem (Milisystem S.A., Milisystem sp. z o.o.) są firmami technologicznymi zajmującymi się produkcją oraz dystrybucją zaawansowanych rozwiązań symulatorów strzeleckich, na potrzeby rynku cywilnego, jak i militarnego, nie wymagających koncesji czy pozwoleń MSWiA.</w:t>
      </w:r>
    </w:p>
    <w:p w14:paraId="0DF03B40" w14:textId="77777777" w:rsidR="007A5AD8" w:rsidRPr="00E54CA2" w:rsidRDefault="007A5AD8" w:rsidP="007A5AD8">
      <w:pPr>
        <w:spacing w:before="100" w:beforeAutospacing="1" w:after="100" w:afterAutospacing="1" w:line="240" w:lineRule="auto"/>
        <w:jc w:val="both"/>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lastRenderedPageBreak/>
        <w:t>Milisystem S.A. dysponuje szeroką gamą rozwiązań technologicznych z obszaru trenażerów strzeleckich. W ofercie znajdują się trenażery oparte na technologii laserowej z rodziny Wisła (Wisła SP oraz Wisła SN), jak również te oparte na technologii wirtualnej (gogle VR). Dzięki zaawansowanej technologii użytkownicy mogą doskonalić swoje umiejętności strzeleckie bez konieczności używania ostrej amunicji, co przekłada się na większe bezpieczeństwo i obniżenie kosztów treningu.</w:t>
      </w:r>
    </w:p>
    <w:p w14:paraId="541DB873" w14:textId="77777777" w:rsidR="007A5AD8" w:rsidRPr="00E54CA2" w:rsidRDefault="007A5AD8" w:rsidP="007A5AD8">
      <w:pPr>
        <w:jc w:val="both"/>
        <w:rPr>
          <w:rFonts w:ascii="Calibri" w:hAnsi="Calibri" w:cs="Calibri"/>
          <w:u w:val="single"/>
        </w:rPr>
      </w:pPr>
      <w:r w:rsidRPr="00E54CA2">
        <w:rPr>
          <w:rFonts w:ascii="Calibri" w:hAnsi="Calibri" w:cs="Calibri"/>
          <w:u w:val="single"/>
        </w:rPr>
        <w:t>Kontakt dla mediów:</w:t>
      </w:r>
    </w:p>
    <w:p w14:paraId="28EBF9C6" w14:textId="37CC28C2" w:rsidR="00E54CA2" w:rsidRDefault="007F5BA5" w:rsidP="00E54CA2">
      <w:pPr>
        <w:spacing w:after="0"/>
        <w:rPr>
          <w:rFonts w:ascii="Calibri" w:hAnsi="Calibri" w:cs="Calibri"/>
        </w:rPr>
      </w:pPr>
      <w:r>
        <w:rPr>
          <w:rFonts w:ascii="Calibri" w:hAnsi="Calibri" w:cs="Calibri"/>
        </w:rPr>
        <w:t>Jacek Grobel</w:t>
      </w:r>
    </w:p>
    <w:p w14:paraId="7FD9FA17" w14:textId="1044F413" w:rsidR="00E54CA2" w:rsidRPr="008647AF" w:rsidRDefault="007F5BA5" w:rsidP="00E54CA2">
      <w:pPr>
        <w:spacing w:after="0"/>
        <w:rPr>
          <w:rFonts w:ascii="Calibri" w:hAnsi="Calibri" w:cs="Calibri"/>
        </w:rPr>
      </w:pPr>
      <w:r>
        <w:rPr>
          <w:rFonts w:ascii="Calibri" w:hAnsi="Calibri" w:cs="Calibri"/>
        </w:rPr>
        <w:t>RelacjeRynku.pl Agencja Relacji Inwestorskich</w:t>
      </w:r>
    </w:p>
    <w:p w14:paraId="685C4A66" w14:textId="43523996" w:rsidR="00E54CA2" w:rsidRPr="0048228D" w:rsidRDefault="007F5BA5" w:rsidP="00E54CA2">
      <w:pPr>
        <w:spacing w:after="0"/>
        <w:rPr>
          <w:rFonts w:ascii="Calibri" w:hAnsi="Calibri" w:cs="Calibri"/>
          <w:lang w:val="en-US"/>
        </w:rPr>
      </w:pPr>
      <w:hyperlink r:id="rId6" w:history="1">
        <w:r w:rsidRPr="0048228D">
          <w:rPr>
            <w:rStyle w:val="Hipercze"/>
            <w:rFonts w:ascii="Calibri" w:hAnsi="Calibri" w:cs="Calibri"/>
            <w:lang w:val="en-US"/>
          </w:rPr>
          <w:t>www.relacjerynku.pl</w:t>
        </w:r>
      </w:hyperlink>
    </w:p>
    <w:p w14:paraId="379F299C" w14:textId="774B9AE5" w:rsidR="00E54CA2" w:rsidRPr="00E54CA2" w:rsidRDefault="00E54CA2" w:rsidP="00E54CA2">
      <w:pPr>
        <w:spacing w:after="0"/>
        <w:rPr>
          <w:rFonts w:ascii="Calibri" w:hAnsi="Calibri" w:cs="Calibri"/>
          <w:lang w:val="en-GB"/>
        </w:rPr>
      </w:pPr>
      <w:r w:rsidRPr="00E54CA2">
        <w:rPr>
          <w:rFonts w:ascii="Calibri" w:hAnsi="Calibri" w:cs="Calibri"/>
          <w:lang w:val="en-GB"/>
        </w:rPr>
        <w:t xml:space="preserve">tel.: (+48) </w:t>
      </w:r>
      <w:r w:rsidR="007F5BA5">
        <w:rPr>
          <w:rFonts w:ascii="Calibri" w:hAnsi="Calibri" w:cs="Calibri"/>
          <w:lang w:val="en-GB"/>
        </w:rPr>
        <w:t>662 246 465</w:t>
      </w:r>
    </w:p>
    <w:p w14:paraId="6F756865" w14:textId="4F5863F2" w:rsidR="007A5AD8" w:rsidRPr="00E54CA2" w:rsidRDefault="00E54CA2" w:rsidP="00E54CA2">
      <w:pPr>
        <w:spacing w:after="0"/>
        <w:rPr>
          <w:rFonts w:ascii="Calibri" w:hAnsi="Calibri" w:cs="Calibri"/>
          <w:lang w:val="en-GB"/>
        </w:rPr>
      </w:pPr>
      <w:r w:rsidRPr="00E54CA2">
        <w:rPr>
          <w:rFonts w:ascii="Calibri" w:hAnsi="Calibri" w:cs="Calibri"/>
          <w:lang w:val="en-GB"/>
        </w:rPr>
        <w:t xml:space="preserve">e-mail: </w:t>
      </w:r>
      <w:hyperlink r:id="rId7" w:history="1">
        <w:r w:rsidR="007F5BA5" w:rsidRPr="00EA21CB">
          <w:rPr>
            <w:rStyle w:val="Hipercze"/>
            <w:rFonts w:ascii="Calibri" w:hAnsi="Calibri" w:cs="Calibri"/>
            <w:lang w:val="en-GB"/>
          </w:rPr>
          <w:t>biuro@relacjerynku.pl</w:t>
        </w:r>
      </w:hyperlink>
      <w:r w:rsidR="007F5BA5">
        <w:rPr>
          <w:rFonts w:ascii="Calibri" w:hAnsi="Calibri" w:cs="Calibri"/>
          <w:lang w:val="en-GB"/>
        </w:rPr>
        <w:t xml:space="preserve"> </w:t>
      </w:r>
      <w:r w:rsidRPr="00E54CA2">
        <w:rPr>
          <w:rFonts w:ascii="Calibri" w:hAnsi="Calibri" w:cs="Calibri"/>
          <w:lang w:val="en-GB"/>
        </w:rPr>
        <w:t xml:space="preserve"> </w:t>
      </w:r>
    </w:p>
    <w:sectPr w:rsidR="007A5AD8" w:rsidRPr="00E54CA2" w:rsidSect="000432DE">
      <w:headerReference w:type="even" r:id="rId8"/>
      <w:headerReference w:type="default" r:id="rId9"/>
      <w:footerReference w:type="default" r:id="rId10"/>
      <w:headerReference w:type="first" r:id="rId11"/>
      <w:pgSz w:w="11906" w:h="16838"/>
      <w:pgMar w:top="1417" w:right="1417" w:bottom="1417" w:left="1417" w:header="1247"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C6974" w14:textId="77777777" w:rsidR="007C1489" w:rsidRDefault="007C1489" w:rsidP="00666936">
      <w:pPr>
        <w:spacing w:after="0" w:line="240" w:lineRule="auto"/>
      </w:pPr>
      <w:r>
        <w:separator/>
      </w:r>
    </w:p>
  </w:endnote>
  <w:endnote w:type="continuationSeparator" w:id="0">
    <w:p w14:paraId="72730423" w14:textId="77777777" w:rsidR="007C1489" w:rsidRDefault="007C1489" w:rsidP="00666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Poppins">
    <w:altName w:val="Times New Roman"/>
    <w:charset w:val="EE"/>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94E3" w14:textId="4007F692" w:rsidR="00666936" w:rsidRPr="00666936" w:rsidRDefault="000432DE">
    <w:pPr>
      <w:pStyle w:val="Stopka"/>
      <w:rPr>
        <w:rFonts w:ascii="Poppins" w:hAnsi="Poppins" w:cs="Poppins"/>
        <w:b/>
        <w:bCs/>
      </w:rPr>
    </w:pPr>
    <w:r w:rsidRPr="000432DE">
      <w:rPr>
        <w:rFonts w:ascii="Poppins" w:hAnsi="Poppins" w:cs="Poppins"/>
        <w:b/>
        <w:bCs/>
        <w:noProof/>
        <w:lang w:eastAsia="pl-PL"/>
      </w:rPr>
      <mc:AlternateContent>
        <mc:Choice Requires="wps">
          <w:drawing>
            <wp:anchor distT="45720" distB="45720" distL="114300" distR="114300" simplePos="0" relativeHeight="251676672" behindDoc="0" locked="0" layoutInCell="1" allowOverlap="1" wp14:anchorId="5795B8EB" wp14:editId="1B7778CD">
              <wp:simplePos x="0" y="0"/>
              <wp:positionH relativeFrom="column">
                <wp:posOffset>-417830</wp:posOffset>
              </wp:positionH>
              <wp:positionV relativeFrom="paragraph">
                <wp:posOffset>-13970</wp:posOffset>
              </wp:positionV>
              <wp:extent cx="2360930" cy="1404620"/>
              <wp:effectExtent l="0" t="0" r="635" b="63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F69152B" w14:textId="6A131FB8" w:rsidR="000432DE" w:rsidRPr="007A5AD8" w:rsidRDefault="000432DE" w:rsidP="000432DE">
                          <w:pPr>
                            <w:rPr>
                              <w:sz w:val="16"/>
                              <w:szCs w:val="16"/>
                              <w:lang w:val="en-GB"/>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795B8EB" id="_x0000_t202" coordsize="21600,21600" o:spt="202" path="m,l,21600r21600,l21600,xe">
              <v:stroke joinstyle="miter"/>
              <v:path gradientshapeok="t" o:connecttype="rect"/>
            </v:shapetype>
            <v:shape id="Pole tekstowe 2" o:spid="_x0000_s1026" type="#_x0000_t202" style="position:absolute;margin-left:-32.9pt;margin-top:-1.1pt;width:185.9pt;height:110.6pt;z-index:2516766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" stroked="f">
              <v:textbox style="mso-fit-shape-to-text:t">
                <w:txbxContent>
                  <w:p w14:paraId="3F69152B" w14:textId="6A131FB8" w:rsidR="000432DE" w:rsidRPr="007A5AD8" w:rsidRDefault="000432DE" w:rsidP="000432DE">
                    <w:pPr>
                      <w:rPr>
                        <w:sz w:val="16"/>
                        <w:szCs w:val="16"/>
                        <w:lang w:val="en-GB"/>
                      </w:rPr>
                    </w:pPr>
                  </w:p>
                </w:txbxContent>
              </v:textbox>
              <w10:wrap type="square"/>
            </v:shape>
          </w:pict>
        </mc:Fallback>
      </mc:AlternateContent>
    </w:r>
    <w:r w:rsidRPr="000432DE">
      <w:rPr>
        <w:rFonts w:ascii="Poppins" w:hAnsi="Poppins" w:cs="Poppins"/>
        <w:b/>
        <w:bCs/>
        <w:noProof/>
        <w:lang w:eastAsia="pl-PL"/>
      </w:rPr>
      <mc:AlternateContent>
        <mc:Choice Requires="wps">
          <w:drawing>
            <wp:anchor distT="45720" distB="45720" distL="114300" distR="114300" simplePos="0" relativeHeight="251678720" behindDoc="0" locked="0" layoutInCell="1" allowOverlap="1" wp14:anchorId="750A70F1" wp14:editId="2D5E733B">
              <wp:simplePos x="0" y="0"/>
              <wp:positionH relativeFrom="column">
                <wp:posOffset>4034155</wp:posOffset>
              </wp:positionH>
              <wp:positionV relativeFrom="paragraph">
                <wp:posOffset>7620</wp:posOffset>
              </wp:positionV>
              <wp:extent cx="2360930" cy="1404620"/>
              <wp:effectExtent l="0" t="0" r="635" b="6350"/>
              <wp:wrapSquare wrapText="bothSides"/>
              <wp:docPr id="63847843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63394E9" w14:textId="0BC68FCF" w:rsidR="000432DE" w:rsidRPr="007A5AD8" w:rsidRDefault="000432DE" w:rsidP="000432DE">
                          <w:pPr>
                            <w:rPr>
                              <w:sz w:val="16"/>
                              <w:szCs w:val="16"/>
                              <w:lang w:val="en-GB"/>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50A70F1" id="_x0000_s1027" type="#_x0000_t202" style="position:absolute;margin-left:317.65pt;margin-top:.6pt;width:185.9pt;height:110.6pt;z-index:2516787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" stroked="f">
              <v:textbox style="mso-fit-shape-to-text:t">
                <w:txbxContent>
                  <w:p w14:paraId="363394E9" w14:textId="0BC68FCF" w:rsidR="000432DE" w:rsidRPr="007A5AD8" w:rsidRDefault="000432DE" w:rsidP="000432DE">
                    <w:pPr>
                      <w:rPr>
                        <w:sz w:val="16"/>
                        <w:szCs w:val="16"/>
                        <w:lang w:val="en-GB"/>
                      </w:rPr>
                    </w:pPr>
                  </w:p>
                </w:txbxContent>
              </v:textbox>
              <w10:wrap type="square"/>
            </v:shape>
          </w:pict>
        </mc:Fallback>
      </mc:AlternateContent>
    </w:r>
    <w:r w:rsidR="00666936">
      <w:rPr>
        <w:noProof/>
        <w:lang w:eastAsia="pl-PL"/>
      </w:rPr>
      <w:drawing>
        <wp:anchor distT="0" distB="0" distL="114300" distR="114300" simplePos="0" relativeHeight="251662336" behindDoc="1" locked="0" layoutInCell="1" allowOverlap="1" wp14:anchorId="1015EEB0" wp14:editId="1DC23B49">
          <wp:simplePos x="0" y="0"/>
          <wp:positionH relativeFrom="column">
            <wp:posOffset>-436245</wp:posOffset>
          </wp:positionH>
          <wp:positionV relativeFrom="paragraph">
            <wp:posOffset>-883285</wp:posOffset>
          </wp:positionV>
          <wp:extent cx="688975" cy="688975"/>
          <wp:effectExtent l="0" t="0" r="0" b="0"/>
          <wp:wrapNone/>
          <wp:docPr id="12397626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4384" behindDoc="1" locked="0" layoutInCell="1" allowOverlap="1" wp14:anchorId="18A737A8" wp14:editId="2807A6CB">
          <wp:simplePos x="0" y="0"/>
          <wp:positionH relativeFrom="column">
            <wp:posOffset>313055</wp:posOffset>
          </wp:positionH>
          <wp:positionV relativeFrom="paragraph">
            <wp:posOffset>-876935</wp:posOffset>
          </wp:positionV>
          <wp:extent cx="688975" cy="688975"/>
          <wp:effectExtent l="0" t="0" r="0" b="0"/>
          <wp:wrapNone/>
          <wp:docPr id="1853325659"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7456" behindDoc="1" locked="0" layoutInCell="1" allowOverlap="1" wp14:anchorId="5A0E00ED" wp14:editId="1343B872">
          <wp:simplePos x="0" y="0"/>
          <wp:positionH relativeFrom="column">
            <wp:posOffset>1816100</wp:posOffset>
          </wp:positionH>
          <wp:positionV relativeFrom="paragraph">
            <wp:posOffset>-876300</wp:posOffset>
          </wp:positionV>
          <wp:extent cx="688975" cy="688975"/>
          <wp:effectExtent l="0" t="0" r="0" b="0"/>
          <wp:wrapNone/>
          <wp:docPr id="2009549351"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6432" behindDoc="1" locked="0" layoutInCell="1" allowOverlap="1" wp14:anchorId="3D837C49" wp14:editId="080A6EA7">
          <wp:simplePos x="0" y="0"/>
          <wp:positionH relativeFrom="column">
            <wp:posOffset>1066800</wp:posOffset>
          </wp:positionH>
          <wp:positionV relativeFrom="paragraph">
            <wp:posOffset>-882650</wp:posOffset>
          </wp:positionV>
          <wp:extent cx="688975" cy="688975"/>
          <wp:effectExtent l="0" t="0" r="0" b="0"/>
          <wp:wrapNone/>
          <wp:docPr id="87443308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2576" behindDoc="1" locked="0" layoutInCell="1" allowOverlap="1" wp14:anchorId="55862A96" wp14:editId="0E55AE3F">
          <wp:simplePos x="0" y="0"/>
          <wp:positionH relativeFrom="column">
            <wp:posOffset>4824095</wp:posOffset>
          </wp:positionH>
          <wp:positionV relativeFrom="paragraph">
            <wp:posOffset>-882015</wp:posOffset>
          </wp:positionV>
          <wp:extent cx="688975" cy="688975"/>
          <wp:effectExtent l="0" t="0" r="0" b="0"/>
          <wp:wrapNone/>
          <wp:docPr id="1386420576"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1552" behindDoc="1" locked="0" layoutInCell="1" allowOverlap="1" wp14:anchorId="0DE054ED" wp14:editId="1A642114">
          <wp:simplePos x="0" y="0"/>
          <wp:positionH relativeFrom="column">
            <wp:posOffset>4074795</wp:posOffset>
          </wp:positionH>
          <wp:positionV relativeFrom="paragraph">
            <wp:posOffset>-888365</wp:posOffset>
          </wp:positionV>
          <wp:extent cx="688975" cy="688975"/>
          <wp:effectExtent l="0" t="0" r="0" b="0"/>
          <wp:wrapNone/>
          <wp:docPr id="207432639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0528" behindDoc="1" locked="0" layoutInCell="1" allowOverlap="1" wp14:anchorId="50D952FA" wp14:editId="0056BB82">
          <wp:simplePos x="0" y="0"/>
          <wp:positionH relativeFrom="column">
            <wp:posOffset>3321050</wp:posOffset>
          </wp:positionH>
          <wp:positionV relativeFrom="paragraph">
            <wp:posOffset>-882650</wp:posOffset>
          </wp:positionV>
          <wp:extent cx="688975" cy="688975"/>
          <wp:effectExtent l="0" t="0" r="0" b="0"/>
          <wp:wrapNone/>
          <wp:docPr id="1252534730"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9504" behindDoc="1" locked="0" layoutInCell="1" allowOverlap="1" wp14:anchorId="182FF767" wp14:editId="5329A974">
          <wp:simplePos x="0" y="0"/>
          <wp:positionH relativeFrom="column">
            <wp:posOffset>2571750</wp:posOffset>
          </wp:positionH>
          <wp:positionV relativeFrom="paragraph">
            <wp:posOffset>-889000</wp:posOffset>
          </wp:positionV>
          <wp:extent cx="688975" cy="688975"/>
          <wp:effectExtent l="0" t="0" r="0" b="0"/>
          <wp:wrapNone/>
          <wp:docPr id="127873845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4624" behindDoc="1" locked="0" layoutInCell="1" allowOverlap="1" wp14:anchorId="318825B0" wp14:editId="0BA4FA79">
          <wp:simplePos x="0" y="0"/>
          <wp:positionH relativeFrom="column">
            <wp:posOffset>5564505</wp:posOffset>
          </wp:positionH>
          <wp:positionV relativeFrom="paragraph">
            <wp:posOffset>-889635</wp:posOffset>
          </wp:positionV>
          <wp:extent cx="688975" cy="688975"/>
          <wp:effectExtent l="0" t="0" r="0" b="0"/>
          <wp:wrapNone/>
          <wp:docPr id="89560894"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BB183" w14:textId="77777777" w:rsidR="007C1489" w:rsidRDefault="007C1489" w:rsidP="00666936">
      <w:pPr>
        <w:spacing w:after="0" w:line="240" w:lineRule="auto"/>
      </w:pPr>
      <w:r>
        <w:separator/>
      </w:r>
    </w:p>
  </w:footnote>
  <w:footnote w:type="continuationSeparator" w:id="0">
    <w:p w14:paraId="4FB6AE41" w14:textId="77777777" w:rsidR="007C1489" w:rsidRDefault="007C1489" w:rsidP="00666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9A6A" w14:textId="4F895789" w:rsidR="00666936" w:rsidRDefault="00000000">
    <w:pPr>
      <w:pStyle w:val="Nagwek"/>
    </w:pPr>
    <w:r>
      <w:rPr>
        <w:noProof/>
      </w:rPr>
      <w:pict w14:anchorId="62EFF8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996579" o:spid="_x0000_s1026" type="#_x0000_t75" style="position:absolute;margin-left:0;margin-top:0;width:453.25pt;height:453.25pt;z-index:-251657216;mso-position-horizontal:center;mso-position-horizontal-relative:margin;mso-position-vertical:center;mso-position-vertical-relative:margin" o:allowincell="f">
          <v:imagedata r:id="rId1" o:title="sygnet_milisystem_blac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97D1" w14:textId="667791AE" w:rsidR="00666936" w:rsidRDefault="00666936">
    <w:pPr>
      <w:pStyle w:val="Nagwek"/>
    </w:pPr>
    <w:r>
      <w:rPr>
        <w:noProof/>
        <w:lang w:eastAsia="pl-PL"/>
      </w:rPr>
      <w:drawing>
        <wp:anchor distT="0" distB="0" distL="114300" distR="114300" simplePos="0" relativeHeight="251661312" behindDoc="1" locked="0" layoutInCell="1" allowOverlap="1" wp14:anchorId="5C823431" wp14:editId="49AC8118">
          <wp:simplePos x="0" y="0"/>
          <wp:positionH relativeFrom="margin">
            <wp:posOffset>-544195</wp:posOffset>
          </wp:positionH>
          <wp:positionV relativeFrom="paragraph">
            <wp:posOffset>-855345</wp:posOffset>
          </wp:positionV>
          <wp:extent cx="5365750" cy="1423649"/>
          <wp:effectExtent l="0" t="0" r="6350" b="5715"/>
          <wp:wrapNone/>
          <wp:docPr id="11900698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6989" name="Obraz 119006989"/>
                  <pic:cNvPicPr/>
                </pic:nvPicPr>
                <pic:blipFill>
                  <a:blip r:embed="rId1">
                    <a:extLst>
                      <a:ext uri="{28A0092B-C50C-407E-A947-70E740481C1C}">
                        <a14:useLocalDpi xmlns:a14="http://schemas.microsoft.com/office/drawing/2010/main" val="0"/>
                      </a:ext>
                    </a:extLst>
                  </a:blip>
                  <a:stretch>
                    <a:fillRect/>
                  </a:stretch>
                </pic:blipFill>
                <pic:spPr>
                  <a:xfrm>
                    <a:off x="0" y="0"/>
                    <a:ext cx="5365750" cy="1423649"/>
                  </a:xfrm>
                  <a:prstGeom prst="rect">
                    <a:avLst/>
                  </a:prstGeom>
                </pic:spPr>
              </pic:pic>
            </a:graphicData>
          </a:graphic>
          <wp14:sizeRelH relativeFrom="margin">
            <wp14:pctWidth>0</wp14:pctWidth>
          </wp14:sizeRelH>
          <wp14:sizeRelV relativeFrom="margin">
            <wp14:pctHeight>0</wp14:pctHeight>
          </wp14:sizeRelV>
        </wp:anchor>
      </w:drawing>
    </w:r>
  </w:p>
  <w:p w14:paraId="2D81A259" w14:textId="61814468" w:rsidR="00666936" w:rsidRDefault="00000000">
    <w:pPr>
      <w:pStyle w:val="Nagwek"/>
    </w:pPr>
    <w:r>
      <w:rPr>
        <w:noProof/>
      </w:rPr>
      <w:pict w14:anchorId="3E1DF6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996580" o:spid="_x0000_s1027" type="#_x0000_t75" style="position:absolute;margin-left:0;margin-top:0;width:453.25pt;height:453.25pt;z-index:-251656192;mso-position-horizontal:center;mso-position-horizontal-relative:margin;mso-position-vertical:center;mso-position-vertical-relative:margin" o:allowincell="f">
          <v:imagedata r:id="rId2" o:title="sygnet_milisystem_black" gain="19661f" blacklevel="26214f" grayscale="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32250" w14:textId="0DE30DEA" w:rsidR="00666936" w:rsidRDefault="00000000">
    <w:pPr>
      <w:pStyle w:val="Nagwek"/>
    </w:pPr>
    <w:r>
      <w:rPr>
        <w:noProof/>
      </w:rPr>
      <w:pict w14:anchorId="5A998B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996578" o:spid="_x0000_s1025" type="#_x0000_t75" style="position:absolute;margin-left:0;margin-top:0;width:453.25pt;height:453.25pt;z-index:-251658240;mso-position-horizontal:center;mso-position-horizontal-relative:margin;mso-position-vertical:center;mso-position-vertical-relative:margin" o:allowincell="f">
          <v:imagedata r:id="rId1" o:title="sygnet_milisystem_black"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936"/>
    <w:rsid w:val="00004D38"/>
    <w:rsid w:val="000067BE"/>
    <w:rsid w:val="00007AFA"/>
    <w:rsid w:val="000119EA"/>
    <w:rsid w:val="00013D12"/>
    <w:rsid w:val="00034306"/>
    <w:rsid w:val="00043134"/>
    <w:rsid w:val="000432DE"/>
    <w:rsid w:val="00044BCB"/>
    <w:rsid w:val="000629AC"/>
    <w:rsid w:val="00065DC7"/>
    <w:rsid w:val="00073BA2"/>
    <w:rsid w:val="0009685B"/>
    <w:rsid w:val="000F4114"/>
    <w:rsid w:val="00120360"/>
    <w:rsid w:val="001314A0"/>
    <w:rsid w:val="00140E77"/>
    <w:rsid w:val="00144123"/>
    <w:rsid w:val="001726D0"/>
    <w:rsid w:val="001738D8"/>
    <w:rsid w:val="00194C3C"/>
    <w:rsid w:val="001967F7"/>
    <w:rsid w:val="001B037D"/>
    <w:rsid w:val="001E6B62"/>
    <w:rsid w:val="00200CC2"/>
    <w:rsid w:val="00211827"/>
    <w:rsid w:val="00224AF9"/>
    <w:rsid w:val="00232F6A"/>
    <w:rsid w:val="00287271"/>
    <w:rsid w:val="002A13D7"/>
    <w:rsid w:val="002B5353"/>
    <w:rsid w:val="002B68CD"/>
    <w:rsid w:val="00300A5D"/>
    <w:rsid w:val="0030347F"/>
    <w:rsid w:val="003376F3"/>
    <w:rsid w:val="00380E83"/>
    <w:rsid w:val="003D2BBE"/>
    <w:rsid w:val="003E6058"/>
    <w:rsid w:val="003E7B17"/>
    <w:rsid w:val="0041649A"/>
    <w:rsid w:val="0045080F"/>
    <w:rsid w:val="00460E80"/>
    <w:rsid w:val="0048228D"/>
    <w:rsid w:val="00496639"/>
    <w:rsid w:val="004A713D"/>
    <w:rsid w:val="004B4F21"/>
    <w:rsid w:val="004C3B4A"/>
    <w:rsid w:val="004D1F78"/>
    <w:rsid w:val="004E42B2"/>
    <w:rsid w:val="004E58D3"/>
    <w:rsid w:val="004F4C19"/>
    <w:rsid w:val="004F6B0C"/>
    <w:rsid w:val="00512A8A"/>
    <w:rsid w:val="00523FA7"/>
    <w:rsid w:val="00545409"/>
    <w:rsid w:val="00560788"/>
    <w:rsid w:val="005912B1"/>
    <w:rsid w:val="00596A36"/>
    <w:rsid w:val="005C39B6"/>
    <w:rsid w:val="00601777"/>
    <w:rsid w:val="00616E45"/>
    <w:rsid w:val="006214DE"/>
    <w:rsid w:val="006419F3"/>
    <w:rsid w:val="00662A2B"/>
    <w:rsid w:val="00666936"/>
    <w:rsid w:val="00671BF6"/>
    <w:rsid w:val="00672A57"/>
    <w:rsid w:val="0067320B"/>
    <w:rsid w:val="00691B07"/>
    <w:rsid w:val="0069543A"/>
    <w:rsid w:val="00695833"/>
    <w:rsid w:val="006A7844"/>
    <w:rsid w:val="006C1BF7"/>
    <w:rsid w:val="006D521C"/>
    <w:rsid w:val="006E71C2"/>
    <w:rsid w:val="006F3FFE"/>
    <w:rsid w:val="007348F3"/>
    <w:rsid w:val="0075221A"/>
    <w:rsid w:val="00755E58"/>
    <w:rsid w:val="00777ABD"/>
    <w:rsid w:val="00782CFA"/>
    <w:rsid w:val="00792917"/>
    <w:rsid w:val="007A5AD8"/>
    <w:rsid w:val="007B1415"/>
    <w:rsid w:val="007C1489"/>
    <w:rsid w:val="007D1605"/>
    <w:rsid w:val="007E0BE4"/>
    <w:rsid w:val="007F5BA5"/>
    <w:rsid w:val="007F74A3"/>
    <w:rsid w:val="00805E82"/>
    <w:rsid w:val="00816C98"/>
    <w:rsid w:val="00825A9B"/>
    <w:rsid w:val="00850FC9"/>
    <w:rsid w:val="008627E8"/>
    <w:rsid w:val="008647AF"/>
    <w:rsid w:val="00870AC1"/>
    <w:rsid w:val="00875C54"/>
    <w:rsid w:val="00892C51"/>
    <w:rsid w:val="00897849"/>
    <w:rsid w:val="008A69D8"/>
    <w:rsid w:val="008B0F03"/>
    <w:rsid w:val="008E38AB"/>
    <w:rsid w:val="00910636"/>
    <w:rsid w:val="00940F86"/>
    <w:rsid w:val="0096217C"/>
    <w:rsid w:val="00964481"/>
    <w:rsid w:val="00987119"/>
    <w:rsid w:val="009C7EA4"/>
    <w:rsid w:val="009D1A87"/>
    <w:rsid w:val="009E56B7"/>
    <w:rsid w:val="00A06C09"/>
    <w:rsid w:val="00A2416B"/>
    <w:rsid w:val="00A26305"/>
    <w:rsid w:val="00A320BA"/>
    <w:rsid w:val="00A32326"/>
    <w:rsid w:val="00A425E5"/>
    <w:rsid w:val="00A45577"/>
    <w:rsid w:val="00A47C28"/>
    <w:rsid w:val="00A57996"/>
    <w:rsid w:val="00A94925"/>
    <w:rsid w:val="00A9705C"/>
    <w:rsid w:val="00AA6AC8"/>
    <w:rsid w:val="00AB4DB5"/>
    <w:rsid w:val="00AC6938"/>
    <w:rsid w:val="00AD2958"/>
    <w:rsid w:val="00AF74B7"/>
    <w:rsid w:val="00B215E4"/>
    <w:rsid w:val="00B272C6"/>
    <w:rsid w:val="00B359B5"/>
    <w:rsid w:val="00B44C30"/>
    <w:rsid w:val="00B55DFD"/>
    <w:rsid w:val="00B60191"/>
    <w:rsid w:val="00B61B30"/>
    <w:rsid w:val="00B62E8B"/>
    <w:rsid w:val="00B91FB2"/>
    <w:rsid w:val="00BA1417"/>
    <w:rsid w:val="00BA7BDD"/>
    <w:rsid w:val="00BB1498"/>
    <w:rsid w:val="00C02FF7"/>
    <w:rsid w:val="00C04CB3"/>
    <w:rsid w:val="00C41A52"/>
    <w:rsid w:val="00C631B3"/>
    <w:rsid w:val="00C668AE"/>
    <w:rsid w:val="00C856BF"/>
    <w:rsid w:val="00C907EB"/>
    <w:rsid w:val="00CA2758"/>
    <w:rsid w:val="00CA7461"/>
    <w:rsid w:val="00CB1001"/>
    <w:rsid w:val="00CB22A0"/>
    <w:rsid w:val="00D13B5F"/>
    <w:rsid w:val="00D24125"/>
    <w:rsid w:val="00D52A5E"/>
    <w:rsid w:val="00D8254C"/>
    <w:rsid w:val="00D84E30"/>
    <w:rsid w:val="00D85027"/>
    <w:rsid w:val="00DB6B73"/>
    <w:rsid w:val="00DC1CC6"/>
    <w:rsid w:val="00DE14A0"/>
    <w:rsid w:val="00DE6A08"/>
    <w:rsid w:val="00E0186E"/>
    <w:rsid w:val="00E03889"/>
    <w:rsid w:val="00E260F5"/>
    <w:rsid w:val="00E314B9"/>
    <w:rsid w:val="00E52514"/>
    <w:rsid w:val="00E54CA2"/>
    <w:rsid w:val="00E636FA"/>
    <w:rsid w:val="00E72B29"/>
    <w:rsid w:val="00E81A79"/>
    <w:rsid w:val="00E81D04"/>
    <w:rsid w:val="00E85FC3"/>
    <w:rsid w:val="00EB482D"/>
    <w:rsid w:val="00EC32CC"/>
    <w:rsid w:val="00EC3CC1"/>
    <w:rsid w:val="00EC3FCA"/>
    <w:rsid w:val="00EE059F"/>
    <w:rsid w:val="00EF0196"/>
    <w:rsid w:val="00EF03C1"/>
    <w:rsid w:val="00EF12B5"/>
    <w:rsid w:val="00F00019"/>
    <w:rsid w:val="00F12ED5"/>
    <w:rsid w:val="00F2414B"/>
    <w:rsid w:val="00F27216"/>
    <w:rsid w:val="00F36670"/>
    <w:rsid w:val="00F540FC"/>
    <w:rsid w:val="00F67DE7"/>
    <w:rsid w:val="00F85AFD"/>
    <w:rsid w:val="00FB6FD2"/>
    <w:rsid w:val="00FC6AF1"/>
    <w:rsid w:val="00FE6F17"/>
    <w:rsid w:val="00FF61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F265F"/>
  <w15:chartTrackingRefBased/>
  <w15:docId w15:val="{01EC79F9-3398-479A-AA12-3900C14BD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C51"/>
  </w:style>
  <w:style w:type="paragraph" w:styleId="Nagwek1">
    <w:name w:val="heading 1"/>
    <w:basedOn w:val="Normalny"/>
    <w:next w:val="Normalny"/>
    <w:link w:val="Nagwek1Znak"/>
    <w:uiPriority w:val="9"/>
    <w:qFormat/>
    <w:rsid w:val="006669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669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6693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6693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6693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6693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6693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6693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6693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6693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6693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6693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6693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6693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6693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6693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6693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66936"/>
    <w:rPr>
      <w:rFonts w:eastAsiaTheme="majorEastAsia" w:cstheme="majorBidi"/>
      <w:color w:val="272727" w:themeColor="text1" w:themeTint="D8"/>
    </w:rPr>
  </w:style>
  <w:style w:type="paragraph" w:styleId="Tytu">
    <w:name w:val="Title"/>
    <w:basedOn w:val="Normalny"/>
    <w:next w:val="Normalny"/>
    <w:link w:val="TytuZnak"/>
    <w:uiPriority w:val="10"/>
    <w:qFormat/>
    <w:rsid w:val="006669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6693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6693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6693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66936"/>
    <w:pPr>
      <w:spacing w:before="160"/>
      <w:jc w:val="center"/>
    </w:pPr>
    <w:rPr>
      <w:i/>
      <w:iCs/>
      <w:color w:val="404040" w:themeColor="text1" w:themeTint="BF"/>
    </w:rPr>
  </w:style>
  <w:style w:type="character" w:customStyle="1" w:styleId="CytatZnak">
    <w:name w:val="Cytat Znak"/>
    <w:basedOn w:val="Domylnaczcionkaakapitu"/>
    <w:link w:val="Cytat"/>
    <w:uiPriority w:val="29"/>
    <w:rsid w:val="00666936"/>
    <w:rPr>
      <w:i/>
      <w:iCs/>
      <w:color w:val="404040" w:themeColor="text1" w:themeTint="BF"/>
    </w:rPr>
  </w:style>
  <w:style w:type="paragraph" w:styleId="Akapitzlist">
    <w:name w:val="List Paragraph"/>
    <w:basedOn w:val="Normalny"/>
    <w:uiPriority w:val="34"/>
    <w:qFormat/>
    <w:rsid w:val="00666936"/>
    <w:pPr>
      <w:ind w:left="720"/>
      <w:contextualSpacing/>
    </w:pPr>
  </w:style>
  <w:style w:type="character" w:styleId="Wyrnienieintensywne">
    <w:name w:val="Intense Emphasis"/>
    <w:basedOn w:val="Domylnaczcionkaakapitu"/>
    <w:uiPriority w:val="21"/>
    <w:qFormat/>
    <w:rsid w:val="00666936"/>
    <w:rPr>
      <w:i/>
      <w:iCs/>
      <w:color w:val="0F4761" w:themeColor="accent1" w:themeShade="BF"/>
    </w:rPr>
  </w:style>
  <w:style w:type="paragraph" w:styleId="Cytatintensywny">
    <w:name w:val="Intense Quote"/>
    <w:basedOn w:val="Normalny"/>
    <w:next w:val="Normalny"/>
    <w:link w:val="CytatintensywnyZnak"/>
    <w:uiPriority w:val="30"/>
    <w:qFormat/>
    <w:rsid w:val="006669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66936"/>
    <w:rPr>
      <w:i/>
      <w:iCs/>
      <w:color w:val="0F4761" w:themeColor="accent1" w:themeShade="BF"/>
    </w:rPr>
  </w:style>
  <w:style w:type="character" w:styleId="Odwoanieintensywne">
    <w:name w:val="Intense Reference"/>
    <w:basedOn w:val="Domylnaczcionkaakapitu"/>
    <w:uiPriority w:val="32"/>
    <w:qFormat/>
    <w:rsid w:val="00666936"/>
    <w:rPr>
      <w:b/>
      <w:bCs/>
      <w:smallCaps/>
      <w:color w:val="0F4761" w:themeColor="accent1" w:themeShade="BF"/>
      <w:spacing w:val="5"/>
    </w:rPr>
  </w:style>
  <w:style w:type="paragraph" w:styleId="Nagwek">
    <w:name w:val="header"/>
    <w:basedOn w:val="Normalny"/>
    <w:link w:val="NagwekZnak"/>
    <w:uiPriority w:val="99"/>
    <w:unhideWhenUsed/>
    <w:rsid w:val="006669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66936"/>
  </w:style>
  <w:style w:type="paragraph" w:styleId="Stopka">
    <w:name w:val="footer"/>
    <w:basedOn w:val="Normalny"/>
    <w:link w:val="StopkaZnak"/>
    <w:uiPriority w:val="99"/>
    <w:unhideWhenUsed/>
    <w:rsid w:val="006669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66936"/>
  </w:style>
  <w:style w:type="paragraph" w:customStyle="1" w:styleId="Podstawowyakapit">
    <w:name w:val="[Podstawowy akapit]"/>
    <w:basedOn w:val="Normalny"/>
    <w:uiPriority w:val="99"/>
    <w:rsid w:val="000432DE"/>
    <w:pPr>
      <w:autoSpaceDE w:val="0"/>
      <w:autoSpaceDN w:val="0"/>
      <w:adjustRightInd w:val="0"/>
      <w:spacing w:after="0" w:line="288" w:lineRule="auto"/>
      <w:textAlignment w:val="center"/>
    </w:pPr>
    <w:rPr>
      <w:rFonts w:ascii="Minion Pro" w:hAnsi="Minion Pro" w:cs="Minion Pro"/>
      <w:color w:val="000000"/>
      <w:kern w:val="0"/>
      <w:sz w:val="24"/>
      <w:szCs w:val="24"/>
    </w:rPr>
  </w:style>
  <w:style w:type="character" w:styleId="Hipercze">
    <w:name w:val="Hyperlink"/>
    <w:basedOn w:val="Domylnaczcionkaakapitu"/>
    <w:uiPriority w:val="99"/>
    <w:unhideWhenUsed/>
    <w:rsid w:val="00E54CA2"/>
    <w:rPr>
      <w:color w:val="467886" w:themeColor="hyperlink"/>
      <w:u w:val="single"/>
    </w:rPr>
  </w:style>
  <w:style w:type="character" w:customStyle="1" w:styleId="Nierozpoznanawzmianka1">
    <w:name w:val="Nierozpoznana wzmianka1"/>
    <w:basedOn w:val="Domylnaczcionkaakapitu"/>
    <w:uiPriority w:val="99"/>
    <w:semiHidden/>
    <w:unhideWhenUsed/>
    <w:rsid w:val="00E54CA2"/>
    <w:rPr>
      <w:color w:val="605E5C"/>
      <w:shd w:val="clear" w:color="auto" w:fill="E1DFDD"/>
    </w:rPr>
  </w:style>
  <w:style w:type="character" w:styleId="Nierozpoznanawzmianka">
    <w:name w:val="Unresolved Mention"/>
    <w:basedOn w:val="Domylnaczcionkaakapitu"/>
    <w:uiPriority w:val="99"/>
    <w:semiHidden/>
    <w:unhideWhenUsed/>
    <w:rsid w:val="007F5B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27677">
      <w:bodyDiv w:val="1"/>
      <w:marLeft w:val="0"/>
      <w:marRight w:val="0"/>
      <w:marTop w:val="0"/>
      <w:marBottom w:val="0"/>
      <w:divBdr>
        <w:top w:val="none" w:sz="0" w:space="0" w:color="auto"/>
        <w:left w:val="none" w:sz="0" w:space="0" w:color="auto"/>
        <w:bottom w:val="none" w:sz="0" w:space="0" w:color="auto"/>
        <w:right w:val="none" w:sz="0" w:space="0" w:color="auto"/>
      </w:divBdr>
    </w:div>
    <w:div w:id="33064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biuro@relacjerynku.p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lacjerynku.p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2</Pages>
  <Words>583</Words>
  <Characters>3502</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Kuba Pozowski</dc:creator>
  <cp:keywords/>
  <dc:description/>
  <cp:lastModifiedBy>Jacek Grobel</cp:lastModifiedBy>
  <cp:revision>174</cp:revision>
  <dcterms:created xsi:type="dcterms:W3CDTF">2024-10-11T12:15:00Z</dcterms:created>
  <dcterms:modified xsi:type="dcterms:W3CDTF">2025-05-16T05:14:00Z</dcterms:modified>
</cp:coreProperties>
</file>